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4B3439" w14:textId="60E44135" w:rsidR="00856B87" w:rsidRDefault="00964591" w:rsidP="00AF34E4">
      <w:pPr>
        <w:pStyle w:val="Heading1"/>
        <w:spacing w:before="0" w:after="120" w:line="257" w:lineRule="auto"/>
        <w:jc w:val="center"/>
      </w:pPr>
      <w:bookmarkStart w:id="0" w:name="_Toc47601881"/>
      <w:r>
        <w:t>Briefing Note:</w:t>
      </w:r>
      <w:r w:rsidR="00856B87">
        <w:t xml:space="preserve"> COVID-19 and the broader retail trade sector</w:t>
      </w:r>
      <w:bookmarkEnd w:id="0"/>
    </w:p>
    <w:p w14:paraId="1131A287" w14:textId="2E792164" w:rsidR="00D2025A" w:rsidRDefault="00D2025A" w:rsidP="00856B87">
      <w:pPr>
        <w:rPr>
          <w:sz w:val="22"/>
        </w:rPr>
      </w:pPr>
      <w:r>
        <w:rPr>
          <w:sz w:val="22"/>
        </w:rPr>
        <w:t xml:space="preserve">This briefing note is one of a series on COVID-19 and its impact on the retail trade sector. This piece focuses on the broader implications of the pandemic with respect to retail trade businesses. Other briefing notes will focus on retail trade employees, the link between retail trade in Niagara and the tourism sector, as well as what a post-pandemic reality might </w:t>
      </w:r>
      <w:r w:rsidR="003D211B">
        <w:rPr>
          <w:sz w:val="22"/>
        </w:rPr>
        <w:t>look like</w:t>
      </w:r>
      <w:r>
        <w:rPr>
          <w:sz w:val="22"/>
        </w:rPr>
        <w:t xml:space="preserve"> for Niagara’s retail trade sector. </w:t>
      </w:r>
    </w:p>
    <w:p w14:paraId="4DC2EDA2" w14:textId="2D5393E4" w:rsidR="009A18F3" w:rsidRDefault="00856B87" w:rsidP="6186142D">
      <w:pPr>
        <w:rPr>
          <w:sz w:val="22"/>
        </w:rPr>
      </w:pPr>
      <w:r w:rsidRPr="6186142D">
        <w:rPr>
          <w:sz w:val="22"/>
        </w:rPr>
        <w:t>To slow the spread of COVID-19, governments in Canada enacted a series of supports, stay-at-home recommendations, and</w:t>
      </w:r>
      <w:r w:rsidR="00477541">
        <w:rPr>
          <w:sz w:val="22"/>
        </w:rPr>
        <w:t xml:space="preserve"> by-laws. Though these </w:t>
      </w:r>
      <w:r w:rsidRPr="6186142D">
        <w:rPr>
          <w:sz w:val="22"/>
        </w:rPr>
        <w:t xml:space="preserve">mandates helped slow the spread of COVID-19, they also impacted businesses (e.g., closures of non-essential businesses). However, even without government intervention, COVID-19 may have led to a decrease in consumer spending. </w:t>
      </w:r>
      <w:r w:rsidR="00302F6E">
        <w:rPr>
          <w:sz w:val="22"/>
        </w:rPr>
        <w:t>Between March 16 and 18, 2020 (i.e. before many provincial closure were mandated), Deloitte conducted a</w:t>
      </w:r>
      <w:r w:rsidRPr="6186142D">
        <w:rPr>
          <w:sz w:val="22"/>
        </w:rPr>
        <w:t xml:space="preserve"> survey of 1,001 Canadian </w:t>
      </w:r>
      <w:r w:rsidR="7A995CA1" w:rsidRPr="6186142D">
        <w:rPr>
          <w:sz w:val="22"/>
        </w:rPr>
        <w:t xml:space="preserve">residents </w:t>
      </w:r>
      <w:r w:rsidR="00302F6E">
        <w:rPr>
          <w:sz w:val="22"/>
        </w:rPr>
        <w:t xml:space="preserve">and </w:t>
      </w:r>
      <w:r w:rsidRPr="6186142D">
        <w:rPr>
          <w:sz w:val="22"/>
        </w:rPr>
        <w:t>found that 68% of respondents already planned to reduce discretionary spending as a result of COVID-19.</w:t>
      </w:r>
      <w:r w:rsidRPr="6186142D">
        <w:rPr>
          <w:rStyle w:val="FootnoteReference"/>
          <w:sz w:val="22"/>
        </w:rPr>
        <w:footnoteReference w:id="1"/>
      </w:r>
      <w:r w:rsidRPr="6186142D">
        <w:rPr>
          <w:sz w:val="22"/>
        </w:rPr>
        <w:t xml:space="preserve"> Further, 61% of respondents expected to spend less time at restaurants and 66% noted they would </w:t>
      </w:r>
      <w:r w:rsidR="003108F5" w:rsidRPr="6186142D">
        <w:rPr>
          <w:sz w:val="22"/>
        </w:rPr>
        <w:t>spend less</w:t>
      </w:r>
      <w:r w:rsidRPr="6186142D">
        <w:rPr>
          <w:sz w:val="22"/>
        </w:rPr>
        <w:t xml:space="preserve"> time at malls.</w:t>
      </w:r>
      <w:r w:rsidRPr="6186142D">
        <w:rPr>
          <w:rStyle w:val="FootnoteReference"/>
          <w:sz w:val="22"/>
        </w:rPr>
        <w:footnoteReference w:id="2"/>
      </w:r>
    </w:p>
    <w:p w14:paraId="0E42E81F" w14:textId="1B2C2332" w:rsidR="00856B87" w:rsidRPr="00090104" w:rsidRDefault="00302F6E" w:rsidP="6186142D">
      <w:pPr>
        <w:rPr>
          <w:sz w:val="22"/>
        </w:rPr>
      </w:pPr>
      <w:r>
        <w:rPr>
          <w:sz w:val="22"/>
        </w:rPr>
        <w:t>These s</w:t>
      </w:r>
      <w:r w:rsidR="00884642" w:rsidRPr="6186142D">
        <w:rPr>
          <w:sz w:val="22"/>
        </w:rPr>
        <w:t xml:space="preserve">tay-at-home mandates and </w:t>
      </w:r>
      <w:r>
        <w:rPr>
          <w:sz w:val="22"/>
        </w:rPr>
        <w:t xml:space="preserve">changes in </w:t>
      </w:r>
      <w:r w:rsidR="00884642" w:rsidRPr="6186142D">
        <w:rPr>
          <w:sz w:val="22"/>
        </w:rPr>
        <w:t xml:space="preserve">consumer confidence </w:t>
      </w:r>
      <w:r w:rsidR="00FA2F03" w:rsidRPr="6186142D">
        <w:rPr>
          <w:sz w:val="22"/>
        </w:rPr>
        <w:t>likely</w:t>
      </w:r>
      <w:r w:rsidR="009A18F3" w:rsidRPr="6186142D">
        <w:rPr>
          <w:sz w:val="22"/>
        </w:rPr>
        <w:t xml:space="preserve"> had compounding effect</w:t>
      </w:r>
      <w:r w:rsidR="00884642" w:rsidRPr="6186142D">
        <w:rPr>
          <w:sz w:val="22"/>
        </w:rPr>
        <w:t>s</w:t>
      </w:r>
      <w:r w:rsidR="009A18F3" w:rsidRPr="6186142D">
        <w:rPr>
          <w:sz w:val="22"/>
        </w:rPr>
        <w:t xml:space="preserve"> on </w:t>
      </w:r>
      <w:r w:rsidR="00884642" w:rsidRPr="6186142D">
        <w:rPr>
          <w:sz w:val="22"/>
        </w:rPr>
        <w:t>retailers</w:t>
      </w:r>
      <w:r w:rsidR="009A18F3" w:rsidRPr="6186142D">
        <w:rPr>
          <w:sz w:val="22"/>
        </w:rPr>
        <w:t xml:space="preserve">. </w:t>
      </w:r>
      <w:r w:rsidR="00FA2F03" w:rsidRPr="6186142D">
        <w:rPr>
          <w:sz w:val="22"/>
        </w:rPr>
        <w:t>In</w:t>
      </w:r>
      <w:r w:rsidR="009A18F3" w:rsidRPr="6186142D">
        <w:rPr>
          <w:sz w:val="22"/>
        </w:rPr>
        <w:t xml:space="preserve"> March 2020</w:t>
      </w:r>
      <w:r w:rsidR="00FA2F03" w:rsidRPr="6186142D">
        <w:rPr>
          <w:sz w:val="22"/>
        </w:rPr>
        <w:t>,</w:t>
      </w:r>
      <w:r w:rsidR="009A18F3" w:rsidRPr="6186142D">
        <w:rPr>
          <w:sz w:val="22"/>
        </w:rPr>
        <w:t xml:space="preserve"> approximately 40% of </w:t>
      </w:r>
      <w:r w:rsidR="485EEAEA" w:rsidRPr="6186142D">
        <w:rPr>
          <w:sz w:val="22"/>
        </w:rPr>
        <w:t xml:space="preserve">retailers </w:t>
      </w:r>
      <w:r w:rsidR="00EA1EFA">
        <w:rPr>
          <w:sz w:val="22"/>
        </w:rPr>
        <w:t xml:space="preserve">responding to a </w:t>
      </w:r>
      <w:r w:rsidR="009A18F3" w:rsidRPr="6186142D">
        <w:rPr>
          <w:sz w:val="22"/>
        </w:rPr>
        <w:t>Statistics Canada survey had been forced to temporarily close their physical locations.</w:t>
      </w:r>
      <w:r w:rsidR="009A18F3" w:rsidRPr="6186142D">
        <w:rPr>
          <w:rStyle w:val="FootnoteReference"/>
          <w:sz w:val="22"/>
        </w:rPr>
        <w:footnoteReference w:id="3"/>
      </w:r>
      <w:r w:rsidR="009A18F3" w:rsidRPr="6186142D">
        <w:rPr>
          <w:sz w:val="22"/>
        </w:rPr>
        <w:t xml:space="preserve"> </w:t>
      </w:r>
      <w:r w:rsidR="00266120">
        <w:rPr>
          <w:sz w:val="22"/>
        </w:rPr>
        <w:t>L</w:t>
      </w:r>
      <w:r w:rsidR="00477541">
        <w:rPr>
          <w:sz w:val="22"/>
        </w:rPr>
        <w:t>ocally</w:t>
      </w:r>
      <w:r w:rsidR="009A18F3" w:rsidRPr="6186142D">
        <w:rPr>
          <w:sz w:val="22"/>
        </w:rPr>
        <w:t xml:space="preserve">, </w:t>
      </w:r>
      <w:r w:rsidR="00477541">
        <w:rPr>
          <w:sz w:val="22"/>
        </w:rPr>
        <w:t>37.1% of</w:t>
      </w:r>
      <w:r w:rsidR="009A18F3" w:rsidRPr="6186142D">
        <w:rPr>
          <w:sz w:val="22"/>
        </w:rPr>
        <w:t xml:space="preserve"> retail trade </w:t>
      </w:r>
      <w:r w:rsidR="00D2025A" w:rsidRPr="6186142D">
        <w:rPr>
          <w:sz w:val="22"/>
        </w:rPr>
        <w:t>businesses</w:t>
      </w:r>
      <w:r w:rsidR="009A18F3" w:rsidRPr="6186142D">
        <w:rPr>
          <w:sz w:val="22"/>
        </w:rPr>
        <w:t xml:space="preserve"> responding </w:t>
      </w:r>
      <w:r w:rsidR="00D2025A" w:rsidRPr="6186142D">
        <w:rPr>
          <w:sz w:val="22"/>
        </w:rPr>
        <w:t xml:space="preserve">to </w:t>
      </w:r>
      <w:r w:rsidR="00C02DAD" w:rsidRPr="6186142D">
        <w:rPr>
          <w:sz w:val="22"/>
        </w:rPr>
        <w:t xml:space="preserve">the Niagara Economic Rapid Response Team’s </w:t>
      </w:r>
      <w:r w:rsidR="00C02DAD" w:rsidRPr="6186142D">
        <w:rPr>
          <w:i/>
          <w:iCs/>
          <w:sz w:val="22"/>
        </w:rPr>
        <w:t>Business Impact Survey</w:t>
      </w:r>
      <w:r w:rsidR="00D2025A" w:rsidRPr="6186142D">
        <w:rPr>
          <w:sz w:val="22"/>
        </w:rPr>
        <w:t xml:space="preserve"> noted that, due to COVID-19, </w:t>
      </w:r>
      <w:r w:rsidR="009A18F3" w:rsidRPr="6186142D">
        <w:rPr>
          <w:sz w:val="22"/>
        </w:rPr>
        <w:t xml:space="preserve">by mid-May they were either </w:t>
      </w:r>
      <w:r w:rsidR="009A18F3" w:rsidRPr="6186142D">
        <w:rPr>
          <w:i/>
          <w:iCs/>
          <w:sz w:val="22"/>
        </w:rPr>
        <w:t xml:space="preserve">vulnerable to closure </w:t>
      </w:r>
      <w:r w:rsidR="009A18F3" w:rsidRPr="6186142D">
        <w:rPr>
          <w:sz w:val="22"/>
        </w:rPr>
        <w:t xml:space="preserve">or </w:t>
      </w:r>
      <w:r w:rsidR="009A18F3" w:rsidRPr="6186142D">
        <w:rPr>
          <w:i/>
          <w:iCs/>
          <w:sz w:val="22"/>
        </w:rPr>
        <w:t>at risk of imminent closure.</w:t>
      </w:r>
      <w:r w:rsidR="009A18F3" w:rsidRPr="6186142D">
        <w:rPr>
          <w:rStyle w:val="FootnoteReference"/>
          <w:i/>
          <w:iCs/>
          <w:sz w:val="22"/>
        </w:rPr>
        <w:footnoteReference w:id="4"/>
      </w:r>
      <w:r w:rsidR="009A18F3" w:rsidRPr="6186142D">
        <w:rPr>
          <w:sz w:val="22"/>
        </w:rPr>
        <w:t xml:space="preserve"> </w:t>
      </w:r>
    </w:p>
    <w:p w14:paraId="37CF944D" w14:textId="2B46D851" w:rsidR="00856B87" w:rsidRPr="00000E45" w:rsidRDefault="000D1382" w:rsidP="6186142D">
      <w:pPr>
        <w:rPr>
          <w:sz w:val="22"/>
        </w:rPr>
      </w:pPr>
      <w:r w:rsidRPr="6186142D">
        <w:rPr>
          <w:sz w:val="22"/>
        </w:rPr>
        <w:t>Alongside</w:t>
      </w:r>
      <w:r w:rsidR="00780317" w:rsidRPr="6186142D">
        <w:rPr>
          <w:sz w:val="22"/>
        </w:rPr>
        <w:t xml:space="preserve"> these changes</w:t>
      </w:r>
      <w:r w:rsidR="00D2025A" w:rsidRPr="6186142D">
        <w:rPr>
          <w:sz w:val="22"/>
        </w:rPr>
        <w:t>, r</w:t>
      </w:r>
      <w:r w:rsidR="00856B87" w:rsidRPr="6186142D">
        <w:rPr>
          <w:sz w:val="22"/>
        </w:rPr>
        <w:t xml:space="preserve">etail trade sales within Ontario fell </w:t>
      </w:r>
      <w:r w:rsidR="00266120">
        <w:rPr>
          <w:sz w:val="22"/>
        </w:rPr>
        <w:t>by 38.5%,</w:t>
      </w:r>
      <w:r w:rsidR="00266120" w:rsidRPr="6186142D">
        <w:rPr>
          <w:sz w:val="22"/>
        </w:rPr>
        <w:t xml:space="preserve"> </w:t>
      </w:r>
      <w:r w:rsidR="00856B87" w:rsidRPr="6186142D">
        <w:rPr>
          <w:sz w:val="22"/>
        </w:rPr>
        <w:t>from</w:t>
      </w:r>
      <w:r w:rsidR="00BE0945" w:rsidRPr="6186142D">
        <w:rPr>
          <w:sz w:val="22"/>
        </w:rPr>
        <w:t xml:space="preserve"> $19.9 billion in February to $12.2</w:t>
      </w:r>
      <w:r w:rsidR="00856B87" w:rsidRPr="6186142D">
        <w:rPr>
          <w:sz w:val="22"/>
        </w:rPr>
        <w:t xml:space="preserve"> billion in April. </w:t>
      </w:r>
      <w:r w:rsidR="00477541">
        <w:rPr>
          <w:sz w:val="22"/>
        </w:rPr>
        <w:t>However, p</w:t>
      </w:r>
      <w:r w:rsidR="005844BE" w:rsidRPr="6186142D">
        <w:rPr>
          <w:sz w:val="22"/>
        </w:rPr>
        <w:t>rovincial r</w:t>
      </w:r>
      <w:r w:rsidR="00964591" w:rsidRPr="6186142D">
        <w:rPr>
          <w:sz w:val="22"/>
        </w:rPr>
        <w:t xml:space="preserve">etail trade sales </w:t>
      </w:r>
      <w:r w:rsidRPr="6186142D">
        <w:rPr>
          <w:sz w:val="22"/>
        </w:rPr>
        <w:t xml:space="preserve">have already </w:t>
      </w:r>
      <w:r w:rsidR="00964591" w:rsidRPr="6186142D">
        <w:rPr>
          <w:sz w:val="22"/>
        </w:rPr>
        <w:t>rebounded from April’s low</w:t>
      </w:r>
      <w:r w:rsidR="47561EC6" w:rsidRPr="6186142D">
        <w:rPr>
          <w:sz w:val="22"/>
        </w:rPr>
        <w:t xml:space="preserve"> to</w:t>
      </w:r>
      <w:r w:rsidR="00964591" w:rsidRPr="6186142D">
        <w:rPr>
          <w:sz w:val="22"/>
        </w:rPr>
        <w:t xml:space="preserve"> $19.6 billion in June 2020</w:t>
      </w:r>
      <w:r w:rsidR="00780317" w:rsidRPr="6186142D">
        <w:rPr>
          <w:sz w:val="22"/>
        </w:rPr>
        <w:t xml:space="preserve"> </w:t>
      </w:r>
      <w:r w:rsidR="005844BE" w:rsidRPr="6186142D">
        <w:rPr>
          <w:sz w:val="22"/>
        </w:rPr>
        <w:t>(see Figure 1)</w:t>
      </w:r>
      <w:r w:rsidR="00964591" w:rsidRPr="6186142D">
        <w:rPr>
          <w:sz w:val="22"/>
        </w:rPr>
        <w:t xml:space="preserve">. </w:t>
      </w:r>
      <w:r w:rsidR="2281A817" w:rsidRPr="6186142D">
        <w:rPr>
          <w:sz w:val="22"/>
        </w:rPr>
        <w:t xml:space="preserve">NWPB will monitor </w:t>
      </w:r>
      <w:r w:rsidR="0C788DC9" w:rsidRPr="6186142D">
        <w:rPr>
          <w:sz w:val="22"/>
        </w:rPr>
        <w:t>this</w:t>
      </w:r>
      <w:r w:rsidR="00964591" w:rsidRPr="6186142D">
        <w:rPr>
          <w:sz w:val="22"/>
        </w:rPr>
        <w:t xml:space="preserve"> trend as we navigate the continued </w:t>
      </w:r>
      <w:r w:rsidR="00AA3CF7" w:rsidRPr="6186142D">
        <w:rPr>
          <w:sz w:val="22"/>
        </w:rPr>
        <w:t>impacts of</w:t>
      </w:r>
      <w:r w:rsidR="00964591" w:rsidRPr="6186142D">
        <w:rPr>
          <w:sz w:val="22"/>
        </w:rPr>
        <w:t xml:space="preserve"> COVID-19</w:t>
      </w:r>
      <w:r w:rsidR="7E2EBEE8" w:rsidRPr="6186142D">
        <w:rPr>
          <w:sz w:val="22"/>
        </w:rPr>
        <w:t xml:space="preserve"> and the risk of subsequent outbreaks</w:t>
      </w:r>
      <w:r w:rsidR="00964591" w:rsidRPr="6186142D">
        <w:rPr>
          <w:sz w:val="22"/>
        </w:rPr>
        <w:t xml:space="preserve">. </w:t>
      </w:r>
    </w:p>
    <w:p w14:paraId="317919CD" w14:textId="425D414E" w:rsidR="00856B87" w:rsidRPr="00000E45" w:rsidRDefault="00AA15E5" w:rsidP="00856B87">
      <w:pPr>
        <w:contextualSpacing/>
        <w:rPr>
          <w:color w:val="0070C0"/>
          <w:sz w:val="22"/>
        </w:rPr>
      </w:pPr>
      <w:r>
        <w:rPr>
          <w:color w:val="0070C0"/>
          <w:sz w:val="22"/>
        </w:rPr>
        <w:t xml:space="preserve">Figure </w:t>
      </w:r>
      <w:r w:rsidR="00856B87">
        <w:rPr>
          <w:color w:val="0070C0"/>
          <w:sz w:val="22"/>
        </w:rPr>
        <w:t>1</w:t>
      </w:r>
      <w:r w:rsidR="00856B87" w:rsidRPr="00000E45">
        <w:rPr>
          <w:color w:val="0070C0"/>
          <w:sz w:val="22"/>
        </w:rPr>
        <w:t xml:space="preserve"> Retail Trade Sales in Ontario, by month</w:t>
      </w:r>
    </w:p>
    <w:p w14:paraId="0DDFA06C" w14:textId="1B3BC7C1" w:rsidR="00856B87" w:rsidRDefault="00964591" w:rsidP="00856B87">
      <w:pPr>
        <w:spacing w:after="0"/>
        <w:rPr>
          <w:color w:val="000000" w:themeColor="text1"/>
          <w:sz w:val="16"/>
          <w:szCs w:val="16"/>
        </w:rPr>
      </w:pPr>
      <w:r>
        <w:rPr>
          <w:noProof/>
          <w:lang w:eastAsia="en-CA"/>
        </w:rPr>
        <w:drawing>
          <wp:inline distT="0" distB="0" distL="0" distR="0" wp14:anchorId="5F6B0AA8" wp14:editId="2DA07976">
            <wp:extent cx="5962650" cy="173355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571A05A2" w14:textId="77777777" w:rsidR="00856B87" w:rsidRPr="00B44D8B" w:rsidRDefault="00856B87" w:rsidP="00856B87">
      <w:pPr>
        <w:spacing w:after="0"/>
        <w:rPr>
          <w:color w:val="000000" w:themeColor="text1"/>
          <w:sz w:val="16"/>
          <w:szCs w:val="16"/>
        </w:rPr>
      </w:pPr>
      <w:r w:rsidRPr="00B44D8B">
        <w:rPr>
          <w:color w:val="000000" w:themeColor="text1"/>
          <w:sz w:val="16"/>
          <w:szCs w:val="16"/>
        </w:rPr>
        <w:t xml:space="preserve">Source: Statistics Canada </w:t>
      </w:r>
      <w:r>
        <w:rPr>
          <w:color w:val="000000" w:themeColor="text1"/>
          <w:sz w:val="16"/>
          <w:szCs w:val="16"/>
        </w:rPr>
        <w:t xml:space="preserve">Retail Trades Sales, Table: </w:t>
      </w:r>
      <w:r w:rsidRPr="009B7D99">
        <w:rPr>
          <w:color w:val="000000" w:themeColor="text1"/>
          <w:sz w:val="16"/>
          <w:szCs w:val="16"/>
        </w:rPr>
        <w:t>20-10-0008-01 (formerly CANSIM 080-0020)</w:t>
      </w:r>
      <w:r>
        <w:rPr>
          <w:color w:val="000000" w:themeColor="text1"/>
          <w:sz w:val="16"/>
          <w:szCs w:val="16"/>
        </w:rPr>
        <w:t>. Custom Tabulation.</w:t>
      </w:r>
    </w:p>
    <w:p w14:paraId="088EA2A3" w14:textId="77029B38" w:rsidR="00964591" w:rsidRDefault="000C1057" w:rsidP="00964591">
      <w:pPr>
        <w:pStyle w:val="Heading2"/>
      </w:pPr>
      <w:r>
        <w:lastRenderedPageBreak/>
        <w:t xml:space="preserve">Retail adjustments </w:t>
      </w:r>
      <w:r w:rsidR="00FB5CAC">
        <w:t xml:space="preserve">in response to </w:t>
      </w:r>
      <w:r w:rsidR="00964591">
        <w:t xml:space="preserve">the </w:t>
      </w:r>
      <w:r>
        <w:t>p</w:t>
      </w:r>
      <w:r w:rsidR="00964591">
        <w:t>andemic</w:t>
      </w:r>
    </w:p>
    <w:p w14:paraId="206FB111" w14:textId="2AF2D02A" w:rsidR="00856B87" w:rsidRDefault="00CF64DC" w:rsidP="6186142D">
      <w:pPr>
        <w:rPr>
          <w:sz w:val="22"/>
        </w:rPr>
      </w:pPr>
      <w:r w:rsidRPr="6186142D">
        <w:rPr>
          <w:sz w:val="22"/>
        </w:rPr>
        <w:t>T</w:t>
      </w:r>
      <w:r w:rsidR="00856B87" w:rsidRPr="6186142D">
        <w:rPr>
          <w:sz w:val="22"/>
        </w:rPr>
        <w:t xml:space="preserve">o combat the </w:t>
      </w:r>
      <w:r w:rsidR="00780317" w:rsidRPr="6186142D">
        <w:rPr>
          <w:sz w:val="22"/>
        </w:rPr>
        <w:t>effect</w:t>
      </w:r>
      <w:r w:rsidR="00E733A3" w:rsidRPr="6186142D">
        <w:rPr>
          <w:sz w:val="22"/>
        </w:rPr>
        <w:t>s</w:t>
      </w:r>
      <w:r w:rsidR="00780317" w:rsidRPr="6186142D">
        <w:rPr>
          <w:sz w:val="22"/>
        </w:rPr>
        <w:t xml:space="preserve"> of the pandemic</w:t>
      </w:r>
      <w:r w:rsidR="00856B87" w:rsidRPr="6186142D">
        <w:rPr>
          <w:sz w:val="22"/>
        </w:rPr>
        <w:t xml:space="preserve"> </w:t>
      </w:r>
      <w:r w:rsidR="00964591" w:rsidRPr="6186142D">
        <w:rPr>
          <w:sz w:val="22"/>
        </w:rPr>
        <w:t>during</w:t>
      </w:r>
      <w:r w:rsidR="00856B87" w:rsidRPr="6186142D">
        <w:rPr>
          <w:sz w:val="22"/>
        </w:rPr>
        <w:t xml:space="preserve"> </w:t>
      </w:r>
      <w:r w:rsidR="00AA15E5" w:rsidRPr="6186142D">
        <w:rPr>
          <w:sz w:val="22"/>
        </w:rPr>
        <w:t>March and April</w:t>
      </w:r>
      <w:r w:rsidR="00856B87" w:rsidRPr="6186142D">
        <w:rPr>
          <w:sz w:val="22"/>
        </w:rPr>
        <w:t xml:space="preserve">, </w:t>
      </w:r>
      <w:r w:rsidR="00884642" w:rsidRPr="6186142D">
        <w:rPr>
          <w:sz w:val="22"/>
        </w:rPr>
        <w:t xml:space="preserve">most </w:t>
      </w:r>
      <w:r w:rsidR="00856B87" w:rsidRPr="6186142D">
        <w:rPr>
          <w:sz w:val="22"/>
        </w:rPr>
        <w:t>retail</w:t>
      </w:r>
      <w:r w:rsidR="00780317" w:rsidRPr="6186142D">
        <w:rPr>
          <w:sz w:val="22"/>
        </w:rPr>
        <w:t xml:space="preserve">ers </w:t>
      </w:r>
      <w:r w:rsidRPr="6186142D">
        <w:rPr>
          <w:sz w:val="22"/>
        </w:rPr>
        <w:t>worked to adapt</w:t>
      </w:r>
      <w:r w:rsidR="00856B87" w:rsidRPr="6186142D">
        <w:rPr>
          <w:sz w:val="22"/>
        </w:rPr>
        <w:t xml:space="preserve"> their </w:t>
      </w:r>
      <w:r w:rsidRPr="6186142D">
        <w:rPr>
          <w:sz w:val="22"/>
        </w:rPr>
        <w:t xml:space="preserve">products, </w:t>
      </w:r>
      <w:r w:rsidR="00856B87" w:rsidRPr="6186142D">
        <w:rPr>
          <w:sz w:val="22"/>
        </w:rPr>
        <w:t xml:space="preserve">sales methods, and strategies for </w:t>
      </w:r>
      <w:r w:rsidRPr="6186142D">
        <w:rPr>
          <w:sz w:val="22"/>
        </w:rPr>
        <w:t>consumer engagement</w:t>
      </w:r>
      <w:r w:rsidR="00856B87" w:rsidRPr="6186142D">
        <w:rPr>
          <w:sz w:val="22"/>
        </w:rPr>
        <w:t xml:space="preserve">. </w:t>
      </w:r>
      <w:r w:rsidR="00780317" w:rsidRPr="6186142D">
        <w:rPr>
          <w:sz w:val="22"/>
        </w:rPr>
        <w:t xml:space="preserve">Data from </w:t>
      </w:r>
      <w:r w:rsidR="00856B87" w:rsidRPr="6186142D">
        <w:rPr>
          <w:sz w:val="22"/>
        </w:rPr>
        <w:t xml:space="preserve">Statistics Canada </w:t>
      </w:r>
      <w:r w:rsidR="00780317" w:rsidRPr="6186142D">
        <w:rPr>
          <w:sz w:val="22"/>
        </w:rPr>
        <w:t xml:space="preserve">show </w:t>
      </w:r>
      <w:r w:rsidR="00856B87" w:rsidRPr="6186142D">
        <w:rPr>
          <w:sz w:val="22"/>
        </w:rPr>
        <w:t xml:space="preserve">that only 2.8% of Canadian retail trade businesses made </w:t>
      </w:r>
      <w:r w:rsidR="00856B87" w:rsidRPr="00A1142C">
        <w:rPr>
          <w:i/>
          <w:iCs/>
          <w:sz w:val="22"/>
        </w:rPr>
        <w:t>no changes</w:t>
      </w:r>
      <w:r w:rsidR="00856B87" w:rsidRPr="6186142D">
        <w:rPr>
          <w:sz w:val="22"/>
        </w:rPr>
        <w:t xml:space="preserve"> to their businesses due to the pandemic. Comparatively, 80.2% of retailers </w:t>
      </w:r>
      <w:r w:rsidR="00856B87" w:rsidRPr="6186142D">
        <w:rPr>
          <w:i/>
          <w:iCs/>
          <w:sz w:val="22"/>
        </w:rPr>
        <w:t>added new ways to interact with or sell to customers</w:t>
      </w:r>
      <w:r w:rsidR="00856B87" w:rsidRPr="6186142D">
        <w:rPr>
          <w:sz w:val="22"/>
        </w:rPr>
        <w:t xml:space="preserve">, </w:t>
      </w:r>
      <w:r w:rsidR="000C1057" w:rsidRPr="6186142D">
        <w:rPr>
          <w:sz w:val="22"/>
        </w:rPr>
        <w:t>significantly</w:t>
      </w:r>
      <w:r w:rsidR="00856B87" w:rsidRPr="6186142D">
        <w:rPr>
          <w:sz w:val="22"/>
        </w:rPr>
        <w:t xml:space="preserve"> higher than the 49.7% of businesses across all industries that did the same. The five most common methods of adaptation </w:t>
      </w:r>
      <w:r w:rsidR="00AA15E5" w:rsidRPr="6186142D">
        <w:rPr>
          <w:sz w:val="22"/>
        </w:rPr>
        <w:t>are presented in Table 1</w:t>
      </w:r>
      <w:r w:rsidR="00856B87" w:rsidRPr="6186142D">
        <w:rPr>
          <w:sz w:val="22"/>
        </w:rPr>
        <w:t>.</w:t>
      </w:r>
    </w:p>
    <w:p w14:paraId="77E88EAC" w14:textId="40166369" w:rsidR="00856B87" w:rsidRPr="00D34D05" w:rsidRDefault="00AA15E5" w:rsidP="00856B87">
      <w:pPr>
        <w:spacing w:line="257" w:lineRule="auto"/>
        <w:contextualSpacing/>
        <w:rPr>
          <w:color w:val="0070C0"/>
          <w:sz w:val="22"/>
        </w:rPr>
      </w:pPr>
      <w:r>
        <w:rPr>
          <w:color w:val="0070C0"/>
          <w:sz w:val="22"/>
        </w:rPr>
        <w:t>Table 1</w:t>
      </w:r>
      <w:r w:rsidR="00E733A3">
        <w:rPr>
          <w:color w:val="0070C0"/>
          <w:sz w:val="22"/>
        </w:rPr>
        <w:t>.</w:t>
      </w:r>
      <w:r>
        <w:rPr>
          <w:color w:val="0070C0"/>
          <w:sz w:val="22"/>
        </w:rPr>
        <w:t xml:space="preserve"> </w:t>
      </w:r>
      <w:r w:rsidR="00856B87">
        <w:rPr>
          <w:color w:val="0070C0"/>
          <w:sz w:val="22"/>
        </w:rPr>
        <w:t>Methods business used to adapt to challenges of COVID-19, Canada</w:t>
      </w:r>
    </w:p>
    <w:tbl>
      <w:tblPr>
        <w:tblW w:w="9448" w:type="dxa"/>
        <w:tblLook w:val="04A0" w:firstRow="1" w:lastRow="0" w:firstColumn="1" w:lastColumn="0" w:noHBand="0" w:noVBand="1"/>
      </w:tblPr>
      <w:tblGrid>
        <w:gridCol w:w="5235"/>
        <w:gridCol w:w="2151"/>
        <w:gridCol w:w="2062"/>
      </w:tblGrid>
      <w:tr w:rsidR="00856B87" w:rsidRPr="00D34D05" w14:paraId="764EC834" w14:textId="77777777" w:rsidTr="00214447">
        <w:trPr>
          <w:trHeight w:val="311"/>
        </w:trPr>
        <w:tc>
          <w:tcPr>
            <w:tcW w:w="5235" w:type="dxa"/>
            <w:tcBorders>
              <w:top w:val="nil"/>
              <w:left w:val="nil"/>
              <w:bottom w:val="nil"/>
              <w:right w:val="nil"/>
            </w:tcBorders>
            <w:shd w:val="clear" w:color="auto" w:fill="auto"/>
            <w:noWrap/>
            <w:vAlign w:val="bottom"/>
            <w:hideMark/>
          </w:tcPr>
          <w:p w14:paraId="2FB650D9" w14:textId="77777777" w:rsidR="00856B87" w:rsidRPr="00D34D05" w:rsidRDefault="00856B87" w:rsidP="00B379A6">
            <w:pPr>
              <w:spacing w:after="0" w:line="240" w:lineRule="auto"/>
              <w:rPr>
                <w:rFonts w:ascii="Times New Roman" w:eastAsia="Times New Roman" w:hAnsi="Times New Roman" w:cs="Times New Roman"/>
                <w:sz w:val="20"/>
                <w:szCs w:val="24"/>
                <w:lang w:val="en-US"/>
              </w:rPr>
            </w:pPr>
          </w:p>
        </w:tc>
        <w:tc>
          <w:tcPr>
            <w:tcW w:w="4213" w:type="dxa"/>
            <w:gridSpan w:val="2"/>
            <w:tcBorders>
              <w:top w:val="single" w:sz="8" w:space="0" w:color="auto"/>
              <w:left w:val="single" w:sz="8" w:space="0" w:color="auto"/>
              <w:bottom w:val="single" w:sz="8" w:space="0" w:color="auto"/>
              <w:right w:val="single" w:sz="8" w:space="0" w:color="000000"/>
            </w:tcBorders>
            <w:shd w:val="clear" w:color="000000" w:fill="5B9BD5"/>
            <w:vAlign w:val="center"/>
            <w:hideMark/>
          </w:tcPr>
          <w:p w14:paraId="0048721F" w14:textId="77777777" w:rsidR="00856B87" w:rsidRPr="00D34D05" w:rsidRDefault="00856B87" w:rsidP="00B379A6">
            <w:pPr>
              <w:spacing w:after="0" w:line="240" w:lineRule="auto"/>
              <w:jc w:val="center"/>
              <w:rPr>
                <w:rFonts w:eastAsia="Times New Roman" w:cs="Times New Roman"/>
                <w:b/>
                <w:bCs/>
                <w:color w:val="FFFFFF"/>
                <w:sz w:val="20"/>
                <w:szCs w:val="20"/>
                <w:lang w:val="en-US"/>
              </w:rPr>
            </w:pPr>
            <w:r w:rsidRPr="00D34D05">
              <w:rPr>
                <w:rFonts w:eastAsia="Times New Roman" w:cs="Times New Roman"/>
                <w:b/>
                <w:bCs/>
                <w:color w:val="FFFFFF"/>
                <w:sz w:val="20"/>
                <w:szCs w:val="20"/>
                <w:lang w:val="en-US"/>
              </w:rPr>
              <w:t xml:space="preserve">Percentage of  </w:t>
            </w:r>
            <w:r>
              <w:rPr>
                <w:rFonts w:eastAsia="Times New Roman" w:cs="Times New Roman"/>
                <w:b/>
                <w:bCs/>
                <w:color w:val="FFFFFF"/>
                <w:sz w:val="20"/>
                <w:szCs w:val="20"/>
                <w:lang w:val="en-US"/>
              </w:rPr>
              <w:t>Respondents</w:t>
            </w:r>
          </w:p>
        </w:tc>
      </w:tr>
      <w:tr w:rsidR="00856B87" w:rsidRPr="00D34D05" w14:paraId="5C0E94D5" w14:textId="77777777" w:rsidTr="00214447">
        <w:trPr>
          <w:trHeight w:val="124"/>
        </w:trPr>
        <w:tc>
          <w:tcPr>
            <w:tcW w:w="5235" w:type="dxa"/>
            <w:tcBorders>
              <w:top w:val="nil"/>
              <w:left w:val="nil"/>
              <w:bottom w:val="nil"/>
              <w:right w:val="nil"/>
            </w:tcBorders>
            <w:shd w:val="clear" w:color="auto" w:fill="auto"/>
            <w:noWrap/>
            <w:vAlign w:val="bottom"/>
            <w:hideMark/>
          </w:tcPr>
          <w:p w14:paraId="476374E4" w14:textId="77777777" w:rsidR="00856B87" w:rsidRPr="00D34D05" w:rsidRDefault="00856B87" w:rsidP="00B379A6">
            <w:pPr>
              <w:spacing w:after="0" w:line="240" w:lineRule="auto"/>
              <w:jc w:val="center"/>
              <w:rPr>
                <w:rFonts w:eastAsia="Times New Roman" w:cs="Times New Roman"/>
                <w:b/>
                <w:bCs/>
                <w:color w:val="FFFFFF"/>
                <w:sz w:val="20"/>
                <w:szCs w:val="20"/>
                <w:lang w:val="en-US"/>
              </w:rPr>
            </w:pPr>
          </w:p>
        </w:tc>
        <w:tc>
          <w:tcPr>
            <w:tcW w:w="2151" w:type="dxa"/>
            <w:tcBorders>
              <w:top w:val="nil"/>
              <w:left w:val="single" w:sz="8" w:space="0" w:color="auto"/>
              <w:bottom w:val="single" w:sz="8" w:space="0" w:color="auto"/>
              <w:right w:val="nil"/>
            </w:tcBorders>
            <w:shd w:val="clear" w:color="000000" w:fill="5B9BD5"/>
            <w:vAlign w:val="center"/>
            <w:hideMark/>
          </w:tcPr>
          <w:p w14:paraId="4D883CBF" w14:textId="513D70FF" w:rsidR="00856B87" w:rsidRPr="00D34D05" w:rsidRDefault="00856B87" w:rsidP="00780317">
            <w:pPr>
              <w:spacing w:after="0" w:line="240" w:lineRule="auto"/>
              <w:jc w:val="center"/>
              <w:rPr>
                <w:rFonts w:eastAsia="Times New Roman" w:cs="Times New Roman"/>
                <w:b/>
                <w:bCs/>
                <w:color w:val="FFFFFF"/>
                <w:sz w:val="20"/>
                <w:szCs w:val="20"/>
                <w:lang w:val="en-US"/>
              </w:rPr>
            </w:pPr>
            <w:r w:rsidRPr="00D34D05">
              <w:rPr>
                <w:rFonts w:eastAsia="Times New Roman" w:cs="Times New Roman"/>
                <w:b/>
                <w:bCs/>
                <w:color w:val="FFFFFF"/>
                <w:sz w:val="20"/>
                <w:szCs w:val="20"/>
                <w:lang w:val="en-US"/>
              </w:rPr>
              <w:t xml:space="preserve">All </w:t>
            </w:r>
            <w:r w:rsidR="00780317">
              <w:rPr>
                <w:rFonts w:eastAsia="Times New Roman" w:cs="Times New Roman"/>
                <w:b/>
                <w:bCs/>
                <w:color w:val="FFFFFF"/>
                <w:sz w:val="20"/>
                <w:szCs w:val="20"/>
                <w:lang w:val="en-US"/>
              </w:rPr>
              <w:t>Industries</w:t>
            </w:r>
          </w:p>
        </w:tc>
        <w:tc>
          <w:tcPr>
            <w:tcW w:w="2062" w:type="dxa"/>
            <w:tcBorders>
              <w:top w:val="nil"/>
              <w:left w:val="single" w:sz="8" w:space="0" w:color="auto"/>
              <w:bottom w:val="single" w:sz="8" w:space="0" w:color="auto"/>
              <w:right w:val="single" w:sz="8" w:space="0" w:color="auto"/>
            </w:tcBorders>
            <w:shd w:val="clear" w:color="000000" w:fill="5B9BD5"/>
            <w:vAlign w:val="center"/>
            <w:hideMark/>
          </w:tcPr>
          <w:p w14:paraId="7E8F5721" w14:textId="77777777" w:rsidR="00856B87" w:rsidRPr="00D34D05" w:rsidRDefault="00856B87" w:rsidP="00B379A6">
            <w:pPr>
              <w:spacing w:after="0" w:line="240" w:lineRule="auto"/>
              <w:jc w:val="center"/>
              <w:rPr>
                <w:rFonts w:eastAsia="Times New Roman" w:cs="Times New Roman"/>
                <w:b/>
                <w:bCs/>
                <w:color w:val="FFFFFF"/>
                <w:sz w:val="20"/>
                <w:szCs w:val="20"/>
                <w:lang w:val="en-US"/>
              </w:rPr>
            </w:pPr>
            <w:r w:rsidRPr="00D34D05">
              <w:rPr>
                <w:rFonts w:eastAsia="Times New Roman" w:cs="Times New Roman"/>
                <w:b/>
                <w:bCs/>
                <w:color w:val="FFFFFF"/>
                <w:sz w:val="20"/>
                <w:szCs w:val="20"/>
                <w:lang w:val="en-US"/>
              </w:rPr>
              <w:t xml:space="preserve">Retail Trade </w:t>
            </w:r>
          </w:p>
        </w:tc>
      </w:tr>
      <w:tr w:rsidR="00856B87" w:rsidRPr="00D34D05" w14:paraId="21066A8B" w14:textId="77777777" w:rsidTr="00214447">
        <w:trPr>
          <w:trHeight w:val="124"/>
        </w:trPr>
        <w:tc>
          <w:tcPr>
            <w:tcW w:w="5235" w:type="dxa"/>
            <w:tcBorders>
              <w:top w:val="single" w:sz="8" w:space="0" w:color="auto"/>
              <w:left w:val="single" w:sz="8" w:space="0" w:color="auto"/>
              <w:bottom w:val="nil"/>
              <w:right w:val="single" w:sz="8" w:space="0" w:color="auto"/>
            </w:tcBorders>
            <w:shd w:val="clear" w:color="000000" w:fill="5B9BD5"/>
            <w:vAlign w:val="center"/>
            <w:hideMark/>
          </w:tcPr>
          <w:p w14:paraId="3670955B" w14:textId="77777777" w:rsidR="00856B87" w:rsidRPr="00D34D05" w:rsidRDefault="00856B87" w:rsidP="00B379A6">
            <w:pPr>
              <w:spacing w:after="0" w:line="240" w:lineRule="auto"/>
              <w:rPr>
                <w:rFonts w:eastAsia="Times New Roman" w:cs="Times New Roman"/>
                <w:b/>
                <w:bCs/>
                <w:color w:val="FFFFFF"/>
                <w:sz w:val="20"/>
                <w:szCs w:val="20"/>
                <w:lang w:val="en-US"/>
              </w:rPr>
            </w:pPr>
            <w:r w:rsidRPr="00D34D05">
              <w:rPr>
                <w:rFonts w:eastAsia="Times New Roman" w:cs="Times New Roman"/>
                <w:b/>
                <w:bCs/>
                <w:color w:val="FFFFFF"/>
                <w:sz w:val="20"/>
                <w:szCs w:val="20"/>
                <w:lang w:val="en-US"/>
              </w:rPr>
              <w:t>Added new ways to interact with or sell to customers</w:t>
            </w:r>
          </w:p>
        </w:tc>
        <w:tc>
          <w:tcPr>
            <w:tcW w:w="2151" w:type="dxa"/>
            <w:tcBorders>
              <w:top w:val="nil"/>
              <w:left w:val="nil"/>
              <w:bottom w:val="single" w:sz="4" w:space="0" w:color="auto"/>
              <w:right w:val="single" w:sz="4" w:space="0" w:color="auto"/>
            </w:tcBorders>
            <w:shd w:val="clear" w:color="auto" w:fill="auto"/>
            <w:noWrap/>
            <w:vAlign w:val="center"/>
            <w:hideMark/>
          </w:tcPr>
          <w:p w14:paraId="181EA611" w14:textId="77777777" w:rsidR="00856B87" w:rsidRPr="00D34D05" w:rsidRDefault="00856B87" w:rsidP="00B379A6">
            <w:pPr>
              <w:spacing w:after="0" w:line="240" w:lineRule="auto"/>
              <w:jc w:val="center"/>
              <w:rPr>
                <w:rFonts w:eastAsia="Times New Roman" w:cs="Times New Roman"/>
                <w:color w:val="000000"/>
                <w:sz w:val="20"/>
                <w:szCs w:val="20"/>
                <w:lang w:val="en-US"/>
              </w:rPr>
            </w:pPr>
            <w:r w:rsidRPr="00D34D05">
              <w:rPr>
                <w:rFonts w:eastAsia="Times New Roman" w:cs="Times New Roman"/>
                <w:color w:val="000000"/>
                <w:sz w:val="20"/>
                <w:szCs w:val="20"/>
                <w:lang w:val="en-US"/>
              </w:rPr>
              <w:t>49.7%</w:t>
            </w:r>
          </w:p>
        </w:tc>
        <w:tc>
          <w:tcPr>
            <w:tcW w:w="2062" w:type="dxa"/>
            <w:tcBorders>
              <w:top w:val="nil"/>
              <w:left w:val="nil"/>
              <w:bottom w:val="single" w:sz="4" w:space="0" w:color="auto"/>
              <w:right w:val="single" w:sz="4" w:space="0" w:color="auto"/>
            </w:tcBorders>
            <w:shd w:val="clear" w:color="auto" w:fill="auto"/>
            <w:noWrap/>
            <w:vAlign w:val="center"/>
            <w:hideMark/>
          </w:tcPr>
          <w:p w14:paraId="6AD5A421" w14:textId="77777777" w:rsidR="00856B87" w:rsidRPr="00D34D05" w:rsidRDefault="00856B87" w:rsidP="00B379A6">
            <w:pPr>
              <w:spacing w:after="0" w:line="240" w:lineRule="auto"/>
              <w:jc w:val="center"/>
              <w:rPr>
                <w:rFonts w:eastAsia="Times New Roman" w:cs="Times New Roman"/>
                <w:color w:val="000000"/>
                <w:sz w:val="20"/>
                <w:szCs w:val="20"/>
                <w:lang w:val="en-US"/>
              </w:rPr>
            </w:pPr>
            <w:r w:rsidRPr="00D34D05">
              <w:rPr>
                <w:rFonts w:eastAsia="Times New Roman" w:cs="Times New Roman"/>
                <w:color w:val="000000"/>
                <w:sz w:val="20"/>
                <w:szCs w:val="20"/>
                <w:lang w:val="en-US"/>
              </w:rPr>
              <w:t>80.2%</w:t>
            </w:r>
          </w:p>
        </w:tc>
      </w:tr>
      <w:tr w:rsidR="00856B87" w:rsidRPr="00D34D05" w14:paraId="2607C4F3" w14:textId="77777777" w:rsidTr="00214447">
        <w:trPr>
          <w:trHeight w:val="457"/>
        </w:trPr>
        <w:tc>
          <w:tcPr>
            <w:tcW w:w="5235" w:type="dxa"/>
            <w:tcBorders>
              <w:top w:val="single" w:sz="4" w:space="0" w:color="auto"/>
              <w:left w:val="single" w:sz="8" w:space="0" w:color="auto"/>
              <w:bottom w:val="single" w:sz="4" w:space="0" w:color="auto"/>
              <w:right w:val="single" w:sz="8" w:space="0" w:color="auto"/>
            </w:tcBorders>
            <w:shd w:val="clear" w:color="000000" w:fill="5B9BD5"/>
            <w:vAlign w:val="center"/>
            <w:hideMark/>
          </w:tcPr>
          <w:p w14:paraId="0E322759" w14:textId="77777777" w:rsidR="00856B87" w:rsidRPr="00D34D05" w:rsidRDefault="00856B87" w:rsidP="00B379A6">
            <w:pPr>
              <w:spacing w:after="0" w:line="240" w:lineRule="auto"/>
              <w:rPr>
                <w:rFonts w:eastAsia="Times New Roman" w:cs="Times New Roman"/>
                <w:b/>
                <w:bCs/>
                <w:color w:val="FFFFFF"/>
                <w:sz w:val="20"/>
                <w:szCs w:val="20"/>
                <w:lang w:val="en-US"/>
              </w:rPr>
            </w:pPr>
            <w:r w:rsidRPr="00D34D05">
              <w:rPr>
                <w:rFonts w:eastAsia="Times New Roman" w:cs="Times New Roman"/>
                <w:b/>
                <w:bCs/>
                <w:color w:val="FFFFFF"/>
                <w:sz w:val="20"/>
                <w:szCs w:val="20"/>
                <w:lang w:val="en-US"/>
              </w:rPr>
              <w:t>Increased maintenance costs</w:t>
            </w:r>
          </w:p>
        </w:tc>
        <w:tc>
          <w:tcPr>
            <w:tcW w:w="2151" w:type="dxa"/>
            <w:tcBorders>
              <w:top w:val="nil"/>
              <w:left w:val="nil"/>
              <w:bottom w:val="single" w:sz="4" w:space="0" w:color="auto"/>
              <w:right w:val="single" w:sz="4" w:space="0" w:color="auto"/>
            </w:tcBorders>
            <w:shd w:val="clear" w:color="auto" w:fill="auto"/>
            <w:noWrap/>
            <w:vAlign w:val="center"/>
            <w:hideMark/>
          </w:tcPr>
          <w:p w14:paraId="351C346F" w14:textId="77777777" w:rsidR="00856B87" w:rsidRPr="00D34D05" w:rsidRDefault="00856B87" w:rsidP="00B379A6">
            <w:pPr>
              <w:spacing w:after="0" w:line="240" w:lineRule="auto"/>
              <w:jc w:val="center"/>
              <w:rPr>
                <w:rFonts w:eastAsia="Times New Roman" w:cs="Times New Roman"/>
                <w:color w:val="000000"/>
                <w:sz w:val="20"/>
                <w:szCs w:val="20"/>
                <w:lang w:val="en-US"/>
              </w:rPr>
            </w:pPr>
            <w:r w:rsidRPr="00D34D05">
              <w:rPr>
                <w:rFonts w:eastAsia="Times New Roman" w:cs="Times New Roman"/>
                <w:color w:val="000000"/>
                <w:sz w:val="20"/>
                <w:szCs w:val="20"/>
                <w:lang w:val="en-US"/>
              </w:rPr>
              <w:t>23.1%</w:t>
            </w:r>
          </w:p>
        </w:tc>
        <w:tc>
          <w:tcPr>
            <w:tcW w:w="2062" w:type="dxa"/>
            <w:tcBorders>
              <w:top w:val="nil"/>
              <w:left w:val="nil"/>
              <w:bottom w:val="single" w:sz="4" w:space="0" w:color="auto"/>
              <w:right w:val="single" w:sz="4" w:space="0" w:color="auto"/>
            </w:tcBorders>
            <w:shd w:val="clear" w:color="auto" w:fill="auto"/>
            <w:noWrap/>
            <w:vAlign w:val="center"/>
            <w:hideMark/>
          </w:tcPr>
          <w:p w14:paraId="16145B85" w14:textId="77777777" w:rsidR="00856B87" w:rsidRPr="00D34D05" w:rsidRDefault="00856B87" w:rsidP="00B379A6">
            <w:pPr>
              <w:spacing w:after="0" w:line="240" w:lineRule="auto"/>
              <w:jc w:val="center"/>
              <w:rPr>
                <w:rFonts w:eastAsia="Times New Roman" w:cs="Times New Roman"/>
                <w:color w:val="000000"/>
                <w:sz w:val="20"/>
                <w:szCs w:val="20"/>
                <w:lang w:val="en-US"/>
              </w:rPr>
            </w:pPr>
            <w:r w:rsidRPr="00D34D05">
              <w:rPr>
                <w:rFonts w:eastAsia="Times New Roman" w:cs="Times New Roman"/>
                <w:color w:val="000000"/>
                <w:sz w:val="20"/>
                <w:szCs w:val="20"/>
                <w:lang w:val="en-US"/>
              </w:rPr>
              <w:t>44.0%</w:t>
            </w:r>
          </w:p>
        </w:tc>
      </w:tr>
      <w:tr w:rsidR="00856B87" w:rsidRPr="00D34D05" w14:paraId="429F9FB0" w14:textId="77777777" w:rsidTr="00214447">
        <w:trPr>
          <w:trHeight w:val="144"/>
        </w:trPr>
        <w:tc>
          <w:tcPr>
            <w:tcW w:w="5235" w:type="dxa"/>
            <w:tcBorders>
              <w:top w:val="single" w:sz="4" w:space="0" w:color="auto"/>
              <w:left w:val="single" w:sz="8" w:space="0" w:color="auto"/>
              <w:bottom w:val="single" w:sz="4" w:space="0" w:color="auto"/>
              <w:right w:val="single" w:sz="8" w:space="0" w:color="auto"/>
            </w:tcBorders>
            <w:shd w:val="clear" w:color="000000" w:fill="5B9BD5"/>
            <w:vAlign w:val="center"/>
            <w:hideMark/>
          </w:tcPr>
          <w:p w14:paraId="131B6AA2" w14:textId="77777777" w:rsidR="00856B87" w:rsidRPr="00D34D05" w:rsidRDefault="00856B87" w:rsidP="00B379A6">
            <w:pPr>
              <w:spacing w:after="0" w:line="240" w:lineRule="auto"/>
              <w:rPr>
                <w:rFonts w:eastAsia="Times New Roman" w:cs="Times New Roman"/>
                <w:b/>
                <w:bCs/>
                <w:color w:val="FFFFFF"/>
                <w:sz w:val="20"/>
                <w:szCs w:val="20"/>
                <w:lang w:val="en-US"/>
              </w:rPr>
            </w:pPr>
            <w:r w:rsidRPr="00D34D05">
              <w:rPr>
                <w:rFonts w:eastAsia="Times New Roman" w:cs="Times New Roman"/>
                <w:b/>
                <w:bCs/>
                <w:color w:val="FFFFFF"/>
                <w:sz w:val="20"/>
                <w:szCs w:val="20"/>
                <w:lang w:val="en-US"/>
              </w:rPr>
              <w:t>Altered products or services offered to customers</w:t>
            </w:r>
          </w:p>
        </w:tc>
        <w:tc>
          <w:tcPr>
            <w:tcW w:w="2151" w:type="dxa"/>
            <w:tcBorders>
              <w:top w:val="nil"/>
              <w:left w:val="nil"/>
              <w:bottom w:val="single" w:sz="4" w:space="0" w:color="auto"/>
              <w:right w:val="single" w:sz="4" w:space="0" w:color="auto"/>
            </w:tcBorders>
            <w:shd w:val="clear" w:color="auto" w:fill="auto"/>
            <w:noWrap/>
            <w:vAlign w:val="center"/>
            <w:hideMark/>
          </w:tcPr>
          <w:p w14:paraId="1DD67FDA" w14:textId="77777777" w:rsidR="00856B87" w:rsidRPr="00D34D05" w:rsidRDefault="00856B87" w:rsidP="00B379A6">
            <w:pPr>
              <w:spacing w:after="0" w:line="240" w:lineRule="auto"/>
              <w:jc w:val="center"/>
              <w:rPr>
                <w:rFonts w:eastAsia="Times New Roman" w:cs="Times New Roman"/>
                <w:color w:val="000000"/>
                <w:sz w:val="20"/>
                <w:szCs w:val="20"/>
                <w:lang w:val="en-US"/>
              </w:rPr>
            </w:pPr>
            <w:r w:rsidRPr="00D34D05">
              <w:rPr>
                <w:rFonts w:eastAsia="Times New Roman" w:cs="Times New Roman"/>
                <w:color w:val="000000"/>
                <w:sz w:val="20"/>
                <w:szCs w:val="20"/>
                <w:lang w:val="en-US"/>
              </w:rPr>
              <w:t>27.4%</w:t>
            </w:r>
          </w:p>
        </w:tc>
        <w:tc>
          <w:tcPr>
            <w:tcW w:w="2062" w:type="dxa"/>
            <w:tcBorders>
              <w:top w:val="nil"/>
              <w:left w:val="nil"/>
              <w:bottom w:val="single" w:sz="4" w:space="0" w:color="auto"/>
              <w:right w:val="single" w:sz="4" w:space="0" w:color="auto"/>
            </w:tcBorders>
            <w:shd w:val="clear" w:color="auto" w:fill="auto"/>
            <w:noWrap/>
            <w:vAlign w:val="center"/>
            <w:hideMark/>
          </w:tcPr>
          <w:p w14:paraId="48F38E1C" w14:textId="77777777" w:rsidR="00856B87" w:rsidRPr="00D34D05" w:rsidRDefault="00856B87" w:rsidP="00B379A6">
            <w:pPr>
              <w:spacing w:after="0" w:line="240" w:lineRule="auto"/>
              <w:jc w:val="center"/>
              <w:rPr>
                <w:rFonts w:eastAsia="Times New Roman" w:cs="Times New Roman"/>
                <w:color w:val="000000"/>
                <w:sz w:val="20"/>
                <w:szCs w:val="20"/>
                <w:lang w:val="en-US"/>
              </w:rPr>
            </w:pPr>
            <w:r w:rsidRPr="00D34D05">
              <w:rPr>
                <w:rFonts w:eastAsia="Times New Roman" w:cs="Times New Roman"/>
                <w:color w:val="000000"/>
                <w:sz w:val="20"/>
                <w:szCs w:val="20"/>
                <w:lang w:val="en-US"/>
              </w:rPr>
              <w:t>36.7%</w:t>
            </w:r>
          </w:p>
        </w:tc>
      </w:tr>
      <w:tr w:rsidR="00856B87" w:rsidRPr="00D34D05" w14:paraId="7B3CBF35" w14:textId="77777777" w:rsidTr="00214447">
        <w:trPr>
          <w:trHeight w:val="144"/>
        </w:trPr>
        <w:tc>
          <w:tcPr>
            <w:tcW w:w="5235" w:type="dxa"/>
            <w:tcBorders>
              <w:top w:val="nil"/>
              <w:left w:val="single" w:sz="8" w:space="0" w:color="auto"/>
              <w:bottom w:val="single" w:sz="4" w:space="0" w:color="auto"/>
              <w:right w:val="single" w:sz="8" w:space="0" w:color="auto"/>
            </w:tcBorders>
            <w:shd w:val="clear" w:color="000000" w:fill="5B9BD5"/>
            <w:vAlign w:val="center"/>
            <w:hideMark/>
          </w:tcPr>
          <w:p w14:paraId="00BE02C6" w14:textId="77777777" w:rsidR="00856B87" w:rsidRPr="00D34D05" w:rsidRDefault="00856B87" w:rsidP="00B379A6">
            <w:pPr>
              <w:spacing w:after="0" w:line="240" w:lineRule="auto"/>
              <w:rPr>
                <w:rFonts w:eastAsia="Times New Roman" w:cs="Times New Roman"/>
                <w:b/>
                <w:bCs/>
                <w:color w:val="FFFFFF"/>
                <w:sz w:val="20"/>
                <w:szCs w:val="20"/>
                <w:lang w:val="en-US"/>
              </w:rPr>
            </w:pPr>
            <w:r w:rsidRPr="00D34D05">
              <w:rPr>
                <w:rFonts w:eastAsia="Times New Roman" w:cs="Times New Roman"/>
                <w:b/>
                <w:bCs/>
                <w:color w:val="FFFFFF"/>
                <w:sz w:val="20"/>
                <w:szCs w:val="20"/>
                <w:lang w:val="en-US"/>
              </w:rPr>
              <w:t>Closed temporarily as mandated by government</w:t>
            </w:r>
          </w:p>
        </w:tc>
        <w:tc>
          <w:tcPr>
            <w:tcW w:w="2151" w:type="dxa"/>
            <w:tcBorders>
              <w:top w:val="nil"/>
              <w:left w:val="nil"/>
              <w:bottom w:val="single" w:sz="4" w:space="0" w:color="auto"/>
              <w:right w:val="single" w:sz="4" w:space="0" w:color="auto"/>
            </w:tcBorders>
            <w:shd w:val="clear" w:color="auto" w:fill="auto"/>
            <w:noWrap/>
            <w:vAlign w:val="center"/>
            <w:hideMark/>
          </w:tcPr>
          <w:p w14:paraId="147D259F" w14:textId="77777777" w:rsidR="00856B87" w:rsidRPr="00D34D05" w:rsidRDefault="00856B87" w:rsidP="00B379A6">
            <w:pPr>
              <w:spacing w:after="0" w:line="240" w:lineRule="auto"/>
              <w:jc w:val="center"/>
              <w:rPr>
                <w:rFonts w:eastAsia="Times New Roman" w:cs="Times New Roman"/>
                <w:color w:val="000000"/>
                <w:sz w:val="20"/>
                <w:szCs w:val="20"/>
                <w:lang w:val="en-US"/>
              </w:rPr>
            </w:pPr>
            <w:r w:rsidRPr="00D34D05">
              <w:rPr>
                <w:rFonts w:eastAsia="Times New Roman" w:cs="Times New Roman"/>
                <w:color w:val="000000"/>
                <w:sz w:val="20"/>
                <w:szCs w:val="20"/>
                <w:lang w:val="en-US"/>
              </w:rPr>
              <w:t>25.8%</w:t>
            </w:r>
          </w:p>
        </w:tc>
        <w:tc>
          <w:tcPr>
            <w:tcW w:w="2062" w:type="dxa"/>
            <w:tcBorders>
              <w:top w:val="nil"/>
              <w:left w:val="nil"/>
              <w:bottom w:val="single" w:sz="4" w:space="0" w:color="auto"/>
              <w:right w:val="single" w:sz="4" w:space="0" w:color="auto"/>
            </w:tcBorders>
            <w:shd w:val="clear" w:color="auto" w:fill="auto"/>
            <w:noWrap/>
            <w:vAlign w:val="center"/>
            <w:hideMark/>
          </w:tcPr>
          <w:p w14:paraId="20190760" w14:textId="77777777" w:rsidR="00856B87" w:rsidRPr="00D34D05" w:rsidRDefault="00856B87" w:rsidP="00B379A6">
            <w:pPr>
              <w:spacing w:after="0" w:line="240" w:lineRule="auto"/>
              <w:jc w:val="center"/>
              <w:rPr>
                <w:rFonts w:eastAsia="Times New Roman" w:cs="Times New Roman"/>
                <w:color w:val="000000"/>
                <w:sz w:val="20"/>
                <w:szCs w:val="20"/>
                <w:lang w:val="en-US"/>
              </w:rPr>
            </w:pPr>
            <w:r w:rsidRPr="00D34D05">
              <w:rPr>
                <w:rFonts w:eastAsia="Times New Roman" w:cs="Times New Roman"/>
                <w:color w:val="000000"/>
                <w:sz w:val="20"/>
                <w:szCs w:val="20"/>
                <w:lang w:val="en-US"/>
              </w:rPr>
              <w:t>28.0%</w:t>
            </w:r>
          </w:p>
        </w:tc>
      </w:tr>
      <w:tr w:rsidR="00856B87" w:rsidRPr="00D34D05" w14:paraId="60C81E8E" w14:textId="77777777" w:rsidTr="00214447">
        <w:trPr>
          <w:trHeight w:val="144"/>
        </w:trPr>
        <w:tc>
          <w:tcPr>
            <w:tcW w:w="5235" w:type="dxa"/>
            <w:tcBorders>
              <w:top w:val="nil"/>
              <w:left w:val="single" w:sz="8" w:space="0" w:color="auto"/>
              <w:bottom w:val="single" w:sz="8" w:space="0" w:color="auto"/>
              <w:right w:val="single" w:sz="8" w:space="0" w:color="auto"/>
            </w:tcBorders>
            <w:shd w:val="clear" w:color="000000" w:fill="5B9BD5"/>
            <w:vAlign w:val="center"/>
            <w:hideMark/>
          </w:tcPr>
          <w:p w14:paraId="648047D4" w14:textId="77777777" w:rsidR="00856B87" w:rsidRPr="00D34D05" w:rsidRDefault="00856B87" w:rsidP="00B379A6">
            <w:pPr>
              <w:spacing w:after="0" w:line="240" w:lineRule="auto"/>
              <w:rPr>
                <w:rFonts w:eastAsia="Times New Roman" w:cs="Times New Roman"/>
                <w:b/>
                <w:bCs/>
                <w:color w:val="FFFFFF"/>
                <w:sz w:val="20"/>
                <w:szCs w:val="20"/>
                <w:lang w:val="en-US"/>
              </w:rPr>
            </w:pPr>
            <w:r w:rsidRPr="00D34D05">
              <w:rPr>
                <w:rFonts w:eastAsia="Times New Roman" w:cs="Times New Roman"/>
                <w:b/>
                <w:bCs/>
                <w:color w:val="FFFFFF"/>
                <w:sz w:val="20"/>
                <w:szCs w:val="20"/>
                <w:lang w:val="en-US"/>
              </w:rPr>
              <w:t>Increased use of</w:t>
            </w:r>
            <w:r>
              <w:rPr>
                <w:rFonts w:eastAsia="Times New Roman" w:cs="Times New Roman"/>
                <w:b/>
                <w:bCs/>
                <w:color w:val="FFFFFF"/>
                <w:sz w:val="20"/>
                <w:szCs w:val="20"/>
                <w:lang w:val="en-US"/>
              </w:rPr>
              <w:t xml:space="preserve"> virtual connections externally</w:t>
            </w:r>
          </w:p>
        </w:tc>
        <w:tc>
          <w:tcPr>
            <w:tcW w:w="2151" w:type="dxa"/>
            <w:tcBorders>
              <w:top w:val="nil"/>
              <w:left w:val="nil"/>
              <w:bottom w:val="single" w:sz="4" w:space="0" w:color="auto"/>
              <w:right w:val="single" w:sz="4" w:space="0" w:color="auto"/>
            </w:tcBorders>
            <w:shd w:val="clear" w:color="auto" w:fill="auto"/>
            <w:noWrap/>
            <w:vAlign w:val="center"/>
            <w:hideMark/>
          </w:tcPr>
          <w:p w14:paraId="28508415" w14:textId="77777777" w:rsidR="00856B87" w:rsidRPr="00D34D05" w:rsidRDefault="00856B87" w:rsidP="00B379A6">
            <w:pPr>
              <w:spacing w:after="0" w:line="240" w:lineRule="auto"/>
              <w:jc w:val="center"/>
              <w:rPr>
                <w:rFonts w:eastAsia="Times New Roman" w:cs="Times New Roman"/>
                <w:color w:val="000000"/>
                <w:sz w:val="20"/>
                <w:szCs w:val="20"/>
                <w:lang w:val="en-US"/>
              </w:rPr>
            </w:pPr>
            <w:r w:rsidRPr="00D34D05">
              <w:rPr>
                <w:rFonts w:eastAsia="Times New Roman" w:cs="Times New Roman"/>
                <w:color w:val="000000"/>
                <w:sz w:val="20"/>
                <w:szCs w:val="20"/>
                <w:lang w:val="en-US"/>
              </w:rPr>
              <w:t>25.2%</w:t>
            </w:r>
          </w:p>
        </w:tc>
        <w:tc>
          <w:tcPr>
            <w:tcW w:w="2062" w:type="dxa"/>
            <w:tcBorders>
              <w:top w:val="nil"/>
              <w:left w:val="nil"/>
              <w:bottom w:val="single" w:sz="4" w:space="0" w:color="auto"/>
              <w:right w:val="single" w:sz="4" w:space="0" w:color="auto"/>
            </w:tcBorders>
            <w:shd w:val="clear" w:color="auto" w:fill="auto"/>
            <w:noWrap/>
            <w:vAlign w:val="center"/>
            <w:hideMark/>
          </w:tcPr>
          <w:p w14:paraId="33E7DAF8" w14:textId="77777777" w:rsidR="00856B87" w:rsidRPr="00D34D05" w:rsidRDefault="00856B87" w:rsidP="00B379A6">
            <w:pPr>
              <w:spacing w:after="0" w:line="240" w:lineRule="auto"/>
              <w:jc w:val="center"/>
              <w:rPr>
                <w:rFonts w:eastAsia="Times New Roman" w:cs="Times New Roman"/>
                <w:color w:val="000000"/>
                <w:sz w:val="20"/>
                <w:szCs w:val="20"/>
                <w:lang w:val="en-US"/>
              </w:rPr>
            </w:pPr>
            <w:r w:rsidRPr="00D34D05">
              <w:rPr>
                <w:rFonts w:eastAsia="Times New Roman" w:cs="Times New Roman"/>
                <w:color w:val="000000"/>
                <w:sz w:val="20"/>
                <w:szCs w:val="20"/>
                <w:lang w:val="en-US"/>
              </w:rPr>
              <w:t>25.5%</w:t>
            </w:r>
          </w:p>
        </w:tc>
      </w:tr>
    </w:tbl>
    <w:p w14:paraId="78490BD8" w14:textId="48BB5226" w:rsidR="00856B87" w:rsidRPr="00E1113F" w:rsidRDefault="00856B87" w:rsidP="00856B87">
      <w:pPr>
        <w:spacing w:after="120" w:line="257" w:lineRule="auto"/>
        <w:rPr>
          <w:sz w:val="16"/>
          <w:szCs w:val="16"/>
        </w:rPr>
      </w:pPr>
      <w:r>
        <w:rPr>
          <w:sz w:val="16"/>
          <w:szCs w:val="16"/>
        </w:rPr>
        <w:t xml:space="preserve">Source: </w:t>
      </w:r>
      <w:r w:rsidRPr="00E1113F">
        <w:rPr>
          <w:sz w:val="16"/>
          <w:szCs w:val="16"/>
        </w:rPr>
        <w:t xml:space="preserve">Statistics Canada. Table 33-10-0250-01 Changes made by businesses to </w:t>
      </w:r>
      <w:r w:rsidR="00CF64DC">
        <w:rPr>
          <w:sz w:val="16"/>
          <w:szCs w:val="16"/>
        </w:rPr>
        <w:t>adapt to the COVID-19 pandemic</w:t>
      </w:r>
    </w:p>
    <w:p w14:paraId="25584AA4" w14:textId="316F118D" w:rsidR="00856B87" w:rsidRDefault="00CB0E30" w:rsidP="6186142D">
      <w:pPr>
        <w:spacing w:after="120" w:line="257" w:lineRule="auto"/>
        <w:rPr>
          <w:sz w:val="22"/>
        </w:rPr>
      </w:pPr>
      <w:r>
        <w:rPr>
          <w:sz w:val="22"/>
        </w:rPr>
        <w:br/>
      </w:r>
      <w:bookmarkStart w:id="1" w:name="_GoBack"/>
      <w:bookmarkEnd w:id="1"/>
      <w:r w:rsidR="00FB5CAC" w:rsidRPr="6186142D">
        <w:rPr>
          <w:sz w:val="22"/>
        </w:rPr>
        <w:t xml:space="preserve">As businesses shifted </w:t>
      </w:r>
      <w:r w:rsidR="00FE232F" w:rsidRPr="6186142D">
        <w:rPr>
          <w:sz w:val="22"/>
        </w:rPr>
        <w:t>strategies</w:t>
      </w:r>
      <w:r w:rsidR="00D53984">
        <w:rPr>
          <w:sz w:val="22"/>
        </w:rPr>
        <w:t>,</w:t>
      </w:r>
      <w:r w:rsidR="00FE232F" w:rsidRPr="6186142D">
        <w:rPr>
          <w:sz w:val="22"/>
        </w:rPr>
        <w:t xml:space="preserve"> </w:t>
      </w:r>
      <w:r w:rsidR="00FB5CAC" w:rsidRPr="6186142D">
        <w:rPr>
          <w:sz w:val="22"/>
        </w:rPr>
        <w:t xml:space="preserve">national </w:t>
      </w:r>
      <w:r w:rsidR="00856B87" w:rsidRPr="6186142D">
        <w:rPr>
          <w:sz w:val="22"/>
        </w:rPr>
        <w:t xml:space="preserve">e-commerce sales grew to $3.9 billion in May, </w:t>
      </w:r>
      <w:r w:rsidR="00305F78" w:rsidRPr="6186142D">
        <w:rPr>
          <w:sz w:val="22"/>
        </w:rPr>
        <w:t>more than</w:t>
      </w:r>
      <w:r w:rsidR="00856B87" w:rsidRPr="6186142D">
        <w:rPr>
          <w:sz w:val="22"/>
        </w:rPr>
        <w:t xml:space="preserve"> doubling</w:t>
      </w:r>
      <w:r w:rsidR="00780317" w:rsidRPr="6186142D">
        <w:rPr>
          <w:sz w:val="22"/>
        </w:rPr>
        <w:t xml:space="preserve"> the </w:t>
      </w:r>
      <w:r w:rsidR="106DF16E" w:rsidRPr="6186142D">
        <w:rPr>
          <w:sz w:val="22"/>
        </w:rPr>
        <w:t xml:space="preserve">digital </w:t>
      </w:r>
      <w:r w:rsidR="00780317" w:rsidRPr="6186142D">
        <w:rPr>
          <w:sz w:val="22"/>
        </w:rPr>
        <w:t>sales seen in</w:t>
      </w:r>
      <w:r w:rsidR="00856B87" w:rsidRPr="6186142D">
        <w:rPr>
          <w:sz w:val="22"/>
        </w:rPr>
        <w:t xml:space="preserve"> February 2020 </w:t>
      </w:r>
      <w:r w:rsidR="00780317" w:rsidRPr="6186142D">
        <w:rPr>
          <w:sz w:val="22"/>
        </w:rPr>
        <w:t>(</w:t>
      </w:r>
      <w:r w:rsidR="00856B87" w:rsidRPr="6186142D">
        <w:rPr>
          <w:sz w:val="22"/>
        </w:rPr>
        <w:t>$</w:t>
      </w:r>
      <w:r w:rsidR="00305F78" w:rsidRPr="6186142D">
        <w:rPr>
          <w:sz w:val="22"/>
        </w:rPr>
        <w:t>1</w:t>
      </w:r>
      <w:r w:rsidR="00856B87" w:rsidRPr="6186142D">
        <w:rPr>
          <w:sz w:val="22"/>
        </w:rPr>
        <w:t>.</w:t>
      </w:r>
      <w:r w:rsidR="00305F78" w:rsidRPr="6186142D">
        <w:rPr>
          <w:sz w:val="22"/>
        </w:rPr>
        <w:t>6</w:t>
      </w:r>
      <w:r w:rsidR="00856B87" w:rsidRPr="6186142D">
        <w:rPr>
          <w:sz w:val="22"/>
        </w:rPr>
        <w:t xml:space="preserve"> billion</w:t>
      </w:r>
      <w:r w:rsidR="00780317" w:rsidRPr="6186142D">
        <w:rPr>
          <w:sz w:val="22"/>
        </w:rPr>
        <w:t>)</w:t>
      </w:r>
      <w:r w:rsidR="00856B87" w:rsidRPr="6186142D">
        <w:rPr>
          <w:sz w:val="22"/>
        </w:rPr>
        <w:t>.</w:t>
      </w:r>
      <w:r w:rsidR="00856B87" w:rsidRPr="6186142D">
        <w:rPr>
          <w:rStyle w:val="FootnoteReference"/>
          <w:sz w:val="22"/>
        </w:rPr>
        <w:footnoteReference w:id="5"/>
      </w:r>
      <w:r w:rsidR="00856B87" w:rsidRPr="6186142D">
        <w:rPr>
          <w:sz w:val="22"/>
        </w:rPr>
        <w:t xml:space="preserve"> </w:t>
      </w:r>
      <w:r w:rsidR="00FB5CAC" w:rsidRPr="6186142D">
        <w:rPr>
          <w:sz w:val="22"/>
        </w:rPr>
        <w:t>However, a</w:t>
      </w:r>
      <w:r w:rsidR="00AA15E5" w:rsidRPr="6186142D">
        <w:rPr>
          <w:sz w:val="22"/>
        </w:rPr>
        <w:t xml:space="preserve">s restrictions began to ease, in-store sales </w:t>
      </w:r>
      <w:r w:rsidR="00884642" w:rsidRPr="6186142D">
        <w:rPr>
          <w:sz w:val="22"/>
        </w:rPr>
        <w:t>rebounded</w:t>
      </w:r>
      <w:r w:rsidR="699C8740" w:rsidRPr="6186142D">
        <w:rPr>
          <w:sz w:val="22"/>
        </w:rPr>
        <w:t>;</w:t>
      </w:r>
      <w:r w:rsidR="00AA15E5" w:rsidRPr="6186142D">
        <w:rPr>
          <w:sz w:val="22"/>
        </w:rPr>
        <w:t xml:space="preserve"> </w:t>
      </w:r>
      <w:r w:rsidR="3680638A" w:rsidRPr="6186142D">
        <w:rPr>
          <w:sz w:val="22"/>
        </w:rPr>
        <w:t>therein,</w:t>
      </w:r>
      <w:r w:rsidR="00884642" w:rsidRPr="6186142D">
        <w:rPr>
          <w:sz w:val="22"/>
        </w:rPr>
        <w:t xml:space="preserve"> e-commerce sales fell </w:t>
      </w:r>
      <w:r w:rsidR="00AA15E5" w:rsidRPr="6186142D">
        <w:rPr>
          <w:sz w:val="22"/>
        </w:rPr>
        <w:t>to $3.2 billion in June, though this figure is still substantially higher than the $</w:t>
      </w:r>
      <w:r w:rsidR="003932F9">
        <w:rPr>
          <w:sz w:val="22"/>
        </w:rPr>
        <w:t>1</w:t>
      </w:r>
      <w:r w:rsidR="00AA15E5" w:rsidRPr="6186142D">
        <w:rPr>
          <w:sz w:val="22"/>
        </w:rPr>
        <w:t>.</w:t>
      </w:r>
      <w:r w:rsidR="003932F9">
        <w:rPr>
          <w:sz w:val="22"/>
        </w:rPr>
        <w:t>6</w:t>
      </w:r>
      <w:r w:rsidR="00AA15E5" w:rsidRPr="6186142D">
        <w:rPr>
          <w:sz w:val="22"/>
        </w:rPr>
        <w:t xml:space="preserve"> billion sales figure from February</w:t>
      </w:r>
      <w:r w:rsidR="00780317" w:rsidRPr="6186142D">
        <w:rPr>
          <w:sz w:val="22"/>
        </w:rPr>
        <w:t xml:space="preserve"> (see Table 2)</w:t>
      </w:r>
      <w:r w:rsidR="00AA15E5" w:rsidRPr="6186142D">
        <w:rPr>
          <w:sz w:val="22"/>
        </w:rPr>
        <w:t>.</w:t>
      </w:r>
      <w:r w:rsidR="00FB5CAC" w:rsidRPr="6186142D">
        <w:rPr>
          <w:sz w:val="22"/>
        </w:rPr>
        <w:t xml:space="preserve"> </w:t>
      </w:r>
    </w:p>
    <w:p w14:paraId="47344214" w14:textId="35F07FCC" w:rsidR="00856B87" w:rsidRPr="00353257" w:rsidRDefault="00AA15E5" w:rsidP="00856B87">
      <w:pPr>
        <w:spacing w:line="257" w:lineRule="auto"/>
        <w:contextualSpacing/>
        <w:rPr>
          <w:color w:val="0070C0"/>
          <w:sz w:val="22"/>
        </w:rPr>
      </w:pPr>
      <w:r>
        <w:rPr>
          <w:color w:val="0070C0"/>
          <w:sz w:val="22"/>
        </w:rPr>
        <w:t>Table 2</w:t>
      </w:r>
      <w:r w:rsidR="00E733A3">
        <w:rPr>
          <w:color w:val="0070C0"/>
          <w:sz w:val="22"/>
        </w:rPr>
        <w:t>.</w:t>
      </w:r>
      <w:r w:rsidR="00856B87" w:rsidRPr="00353257">
        <w:rPr>
          <w:color w:val="0070C0"/>
          <w:sz w:val="22"/>
        </w:rPr>
        <w:t xml:space="preserve"> </w:t>
      </w:r>
      <w:r>
        <w:rPr>
          <w:color w:val="0070C0"/>
          <w:sz w:val="22"/>
        </w:rPr>
        <w:t>Monthly</w:t>
      </w:r>
      <w:r w:rsidR="00856B87" w:rsidRPr="00353257">
        <w:rPr>
          <w:color w:val="0070C0"/>
          <w:sz w:val="22"/>
        </w:rPr>
        <w:t xml:space="preserve"> percentage of sales by method, retail trade, Canada</w:t>
      </w:r>
    </w:p>
    <w:tbl>
      <w:tblPr>
        <w:tblW w:w="9522" w:type="dxa"/>
        <w:tblLook w:val="04A0" w:firstRow="1" w:lastRow="0" w:firstColumn="1" w:lastColumn="0" w:noHBand="0" w:noVBand="1"/>
      </w:tblPr>
      <w:tblGrid>
        <w:gridCol w:w="2335"/>
        <w:gridCol w:w="1616"/>
        <w:gridCol w:w="1257"/>
        <w:gridCol w:w="1077"/>
        <w:gridCol w:w="1077"/>
        <w:gridCol w:w="1077"/>
        <w:gridCol w:w="1083"/>
      </w:tblGrid>
      <w:tr w:rsidR="00305F78" w:rsidRPr="00305F78" w14:paraId="689E8839" w14:textId="77777777" w:rsidTr="00CB0E30">
        <w:trPr>
          <w:trHeight w:val="326"/>
        </w:trPr>
        <w:tc>
          <w:tcPr>
            <w:tcW w:w="2335" w:type="dxa"/>
            <w:tcBorders>
              <w:top w:val="nil"/>
              <w:left w:val="nil"/>
              <w:bottom w:val="nil"/>
              <w:right w:val="nil"/>
            </w:tcBorders>
            <w:shd w:val="clear" w:color="auto" w:fill="auto"/>
            <w:noWrap/>
            <w:vAlign w:val="bottom"/>
            <w:hideMark/>
          </w:tcPr>
          <w:p w14:paraId="6EBEB847" w14:textId="77777777" w:rsidR="00305F78" w:rsidRPr="00305F78" w:rsidRDefault="00305F78" w:rsidP="00305F78">
            <w:pPr>
              <w:spacing w:after="0" w:line="240" w:lineRule="auto"/>
              <w:rPr>
                <w:rFonts w:ascii="Times New Roman" w:eastAsia="Times New Roman" w:hAnsi="Times New Roman" w:cs="Times New Roman"/>
                <w:sz w:val="20"/>
                <w:szCs w:val="24"/>
                <w:lang w:val="en-US"/>
              </w:rPr>
            </w:pPr>
          </w:p>
        </w:tc>
        <w:tc>
          <w:tcPr>
            <w:tcW w:w="1616" w:type="dxa"/>
            <w:tcBorders>
              <w:top w:val="nil"/>
              <w:left w:val="nil"/>
              <w:bottom w:val="nil"/>
              <w:right w:val="nil"/>
            </w:tcBorders>
            <w:shd w:val="clear" w:color="auto" w:fill="auto"/>
            <w:noWrap/>
            <w:vAlign w:val="bottom"/>
            <w:hideMark/>
          </w:tcPr>
          <w:p w14:paraId="25B0667E" w14:textId="77777777" w:rsidR="00305F78" w:rsidRPr="00305F78" w:rsidRDefault="00305F78" w:rsidP="00305F78">
            <w:pPr>
              <w:spacing w:after="0" w:line="240" w:lineRule="auto"/>
              <w:rPr>
                <w:rFonts w:ascii="Times New Roman" w:eastAsia="Times New Roman" w:hAnsi="Times New Roman" w:cs="Times New Roman"/>
                <w:sz w:val="20"/>
                <w:szCs w:val="20"/>
                <w:lang w:val="en-US"/>
              </w:rPr>
            </w:pPr>
          </w:p>
        </w:tc>
        <w:tc>
          <w:tcPr>
            <w:tcW w:w="1257" w:type="dxa"/>
            <w:tcBorders>
              <w:top w:val="single" w:sz="8" w:space="0" w:color="auto"/>
              <w:left w:val="single" w:sz="8" w:space="0" w:color="auto"/>
              <w:bottom w:val="single" w:sz="8" w:space="0" w:color="auto"/>
              <w:right w:val="nil"/>
            </w:tcBorders>
            <w:shd w:val="clear" w:color="000000" w:fill="5B9BD5"/>
            <w:vAlign w:val="center"/>
            <w:hideMark/>
          </w:tcPr>
          <w:p w14:paraId="7B58BC6C" w14:textId="77777777" w:rsidR="00305F78" w:rsidRPr="00305F78" w:rsidRDefault="00305F78" w:rsidP="00305F78">
            <w:pPr>
              <w:spacing w:after="0" w:line="240" w:lineRule="auto"/>
              <w:jc w:val="center"/>
              <w:rPr>
                <w:rFonts w:eastAsia="Times New Roman" w:cs="Times New Roman"/>
                <w:b/>
                <w:bCs/>
                <w:color w:val="FFFFFF"/>
                <w:sz w:val="20"/>
                <w:szCs w:val="20"/>
                <w:lang w:val="en-US"/>
              </w:rPr>
            </w:pPr>
            <w:r w:rsidRPr="00305F78">
              <w:rPr>
                <w:rFonts w:eastAsia="Times New Roman" w:cs="Times New Roman"/>
                <w:b/>
                <w:bCs/>
                <w:color w:val="FFFFFF"/>
                <w:sz w:val="20"/>
                <w:szCs w:val="20"/>
                <w:lang w:val="en-US"/>
              </w:rPr>
              <w:t>February</w:t>
            </w:r>
          </w:p>
        </w:tc>
        <w:tc>
          <w:tcPr>
            <w:tcW w:w="1077" w:type="dxa"/>
            <w:tcBorders>
              <w:top w:val="single" w:sz="8" w:space="0" w:color="auto"/>
              <w:left w:val="single" w:sz="8" w:space="0" w:color="auto"/>
              <w:bottom w:val="single" w:sz="8" w:space="0" w:color="auto"/>
              <w:right w:val="nil"/>
            </w:tcBorders>
            <w:shd w:val="clear" w:color="000000" w:fill="5B9BD5"/>
            <w:vAlign w:val="center"/>
            <w:hideMark/>
          </w:tcPr>
          <w:p w14:paraId="16417479" w14:textId="77777777" w:rsidR="00305F78" w:rsidRPr="00305F78" w:rsidRDefault="00305F78" w:rsidP="00305F78">
            <w:pPr>
              <w:spacing w:after="0" w:line="240" w:lineRule="auto"/>
              <w:jc w:val="center"/>
              <w:rPr>
                <w:rFonts w:eastAsia="Times New Roman" w:cs="Times New Roman"/>
                <w:b/>
                <w:bCs/>
                <w:color w:val="FFFFFF"/>
                <w:sz w:val="20"/>
                <w:szCs w:val="20"/>
                <w:lang w:val="en-US"/>
              </w:rPr>
            </w:pPr>
            <w:r w:rsidRPr="00305F78">
              <w:rPr>
                <w:rFonts w:eastAsia="Times New Roman" w:cs="Times New Roman"/>
                <w:b/>
                <w:bCs/>
                <w:color w:val="FFFFFF"/>
                <w:sz w:val="20"/>
                <w:szCs w:val="20"/>
                <w:lang w:val="en-US"/>
              </w:rPr>
              <w:t>March</w:t>
            </w:r>
          </w:p>
        </w:tc>
        <w:tc>
          <w:tcPr>
            <w:tcW w:w="1077" w:type="dxa"/>
            <w:tcBorders>
              <w:top w:val="single" w:sz="8" w:space="0" w:color="auto"/>
              <w:left w:val="single" w:sz="8" w:space="0" w:color="auto"/>
              <w:bottom w:val="single" w:sz="8" w:space="0" w:color="auto"/>
              <w:right w:val="single" w:sz="8" w:space="0" w:color="auto"/>
            </w:tcBorders>
            <w:shd w:val="clear" w:color="000000" w:fill="5B9BD5"/>
            <w:vAlign w:val="center"/>
            <w:hideMark/>
          </w:tcPr>
          <w:p w14:paraId="681DF589" w14:textId="77777777" w:rsidR="00305F78" w:rsidRPr="00305F78" w:rsidRDefault="00305F78" w:rsidP="00305F78">
            <w:pPr>
              <w:spacing w:after="0" w:line="240" w:lineRule="auto"/>
              <w:jc w:val="center"/>
              <w:rPr>
                <w:rFonts w:eastAsia="Times New Roman" w:cs="Times New Roman"/>
                <w:b/>
                <w:bCs/>
                <w:color w:val="FFFFFF"/>
                <w:sz w:val="20"/>
                <w:szCs w:val="20"/>
                <w:lang w:val="en-US"/>
              </w:rPr>
            </w:pPr>
            <w:r w:rsidRPr="00305F78">
              <w:rPr>
                <w:rFonts w:eastAsia="Times New Roman" w:cs="Times New Roman"/>
                <w:b/>
                <w:bCs/>
                <w:color w:val="FFFFFF"/>
                <w:sz w:val="20"/>
                <w:szCs w:val="20"/>
                <w:lang w:val="en-US"/>
              </w:rPr>
              <w:t>April</w:t>
            </w:r>
          </w:p>
        </w:tc>
        <w:tc>
          <w:tcPr>
            <w:tcW w:w="1077" w:type="dxa"/>
            <w:tcBorders>
              <w:top w:val="single" w:sz="8" w:space="0" w:color="auto"/>
              <w:left w:val="nil"/>
              <w:bottom w:val="single" w:sz="8" w:space="0" w:color="auto"/>
              <w:right w:val="single" w:sz="8" w:space="0" w:color="auto"/>
            </w:tcBorders>
            <w:shd w:val="clear" w:color="000000" w:fill="5B9BD5"/>
            <w:vAlign w:val="center"/>
            <w:hideMark/>
          </w:tcPr>
          <w:p w14:paraId="60616FB8" w14:textId="77777777" w:rsidR="00305F78" w:rsidRPr="00305F78" w:rsidRDefault="00305F78" w:rsidP="00305F78">
            <w:pPr>
              <w:spacing w:after="0" w:line="240" w:lineRule="auto"/>
              <w:jc w:val="center"/>
              <w:rPr>
                <w:rFonts w:eastAsia="Times New Roman" w:cs="Times New Roman"/>
                <w:b/>
                <w:bCs/>
                <w:color w:val="FFFFFF"/>
                <w:sz w:val="20"/>
                <w:szCs w:val="20"/>
                <w:lang w:val="en-US"/>
              </w:rPr>
            </w:pPr>
            <w:r w:rsidRPr="00305F78">
              <w:rPr>
                <w:rFonts w:eastAsia="Times New Roman" w:cs="Times New Roman"/>
                <w:b/>
                <w:bCs/>
                <w:color w:val="FFFFFF"/>
                <w:sz w:val="20"/>
                <w:szCs w:val="20"/>
                <w:lang w:val="en-US"/>
              </w:rPr>
              <w:t>May</w:t>
            </w:r>
          </w:p>
        </w:tc>
        <w:tc>
          <w:tcPr>
            <w:tcW w:w="1083" w:type="dxa"/>
            <w:tcBorders>
              <w:top w:val="single" w:sz="8" w:space="0" w:color="auto"/>
              <w:left w:val="nil"/>
              <w:bottom w:val="single" w:sz="8" w:space="0" w:color="auto"/>
              <w:right w:val="single" w:sz="8" w:space="0" w:color="auto"/>
            </w:tcBorders>
            <w:shd w:val="clear" w:color="000000" w:fill="5B9BD5"/>
            <w:vAlign w:val="center"/>
            <w:hideMark/>
          </w:tcPr>
          <w:p w14:paraId="1507D5B7" w14:textId="77777777" w:rsidR="00305F78" w:rsidRPr="00305F78" w:rsidRDefault="00305F78" w:rsidP="00305F78">
            <w:pPr>
              <w:spacing w:after="0" w:line="240" w:lineRule="auto"/>
              <w:jc w:val="center"/>
              <w:rPr>
                <w:rFonts w:eastAsia="Times New Roman" w:cs="Times New Roman"/>
                <w:b/>
                <w:bCs/>
                <w:color w:val="FFFFFF"/>
                <w:sz w:val="20"/>
                <w:szCs w:val="20"/>
                <w:lang w:val="en-US"/>
              </w:rPr>
            </w:pPr>
            <w:r w:rsidRPr="00305F78">
              <w:rPr>
                <w:rFonts w:eastAsia="Times New Roman" w:cs="Times New Roman"/>
                <w:b/>
                <w:bCs/>
                <w:color w:val="FFFFFF"/>
                <w:sz w:val="20"/>
                <w:szCs w:val="20"/>
                <w:lang w:val="en-US"/>
              </w:rPr>
              <w:t>June</w:t>
            </w:r>
          </w:p>
        </w:tc>
      </w:tr>
      <w:tr w:rsidR="00305F78" w:rsidRPr="00305F78" w14:paraId="31E8A8E6" w14:textId="77777777" w:rsidTr="00CB0E30">
        <w:trPr>
          <w:trHeight w:val="326"/>
        </w:trPr>
        <w:tc>
          <w:tcPr>
            <w:tcW w:w="2335" w:type="dxa"/>
            <w:vMerge w:val="restart"/>
            <w:tcBorders>
              <w:top w:val="single" w:sz="8" w:space="0" w:color="auto"/>
              <w:left w:val="single" w:sz="8" w:space="0" w:color="auto"/>
              <w:bottom w:val="single" w:sz="8" w:space="0" w:color="000000"/>
              <w:right w:val="single" w:sz="8" w:space="0" w:color="auto"/>
            </w:tcBorders>
            <w:shd w:val="clear" w:color="000000" w:fill="5B9BD5"/>
            <w:vAlign w:val="center"/>
            <w:hideMark/>
          </w:tcPr>
          <w:p w14:paraId="24DCDC22" w14:textId="77777777" w:rsidR="00305F78" w:rsidRPr="00305F78" w:rsidRDefault="00305F78" w:rsidP="00305F78">
            <w:pPr>
              <w:spacing w:after="0" w:line="240" w:lineRule="auto"/>
              <w:jc w:val="center"/>
              <w:rPr>
                <w:rFonts w:eastAsia="Times New Roman" w:cs="Times New Roman"/>
                <w:b/>
                <w:bCs/>
                <w:color w:val="FFFFFF"/>
                <w:sz w:val="20"/>
                <w:szCs w:val="20"/>
                <w:lang w:val="en-US"/>
              </w:rPr>
            </w:pPr>
            <w:r w:rsidRPr="00305F78">
              <w:rPr>
                <w:rFonts w:eastAsia="Times New Roman" w:cs="Times New Roman"/>
                <w:b/>
                <w:bCs/>
                <w:color w:val="FFFFFF"/>
                <w:sz w:val="20"/>
                <w:szCs w:val="20"/>
                <w:lang w:val="en-US"/>
              </w:rPr>
              <w:t>Total Sales (in billions)</w:t>
            </w:r>
          </w:p>
        </w:tc>
        <w:tc>
          <w:tcPr>
            <w:tcW w:w="1616" w:type="dxa"/>
            <w:tcBorders>
              <w:top w:val="single" w:sz="8" w:space="0" w:color="auto"/>
              <w:left w:val="nil"/>
              <w:bottom w:val="single" w:sz="8" w:space="0" w:color="auto"/>
              <w:right w:val="single" w:sz="8" w:space="0" w:color="auto"/>
            </w:tcBorders>
            <w:shd w:val="clear" w:color="000000" w:fill="5B9BD5"/>
            <w:vAlign w:val="center"/>
            <w:hideMark/>
          </w:tcPr>
          <w:p w14:paraId="47F5CDA2" w14:textId="77777777" w:rsidR="00305F78" w:rsidRPr="00305F78" w:rsidRDefault="00305F78" w:rsidP="00305F78">
            <w:pPr>
              <w:spacing w:after="0" w:line="240" w:lineRule="auto"/>
              <w:rPr>
                <w:rFonts w:eastAsia="Times New Roman" w:cs="Times New Roman"/>
                <w:b/>
                <w:bCs/>
                <w:color w:val="FFFFFF"/>
                <w:sz w:val="20"/>
                <w:szCs w:val="20"/>
                <w:lang w:val="en-US"/>
              </w:rPr>
            </w:pPr>
            <w:r w:rsidRPr="00305F78">
              <w:rPr>
                <w:rFonts w:eastAsia="Times New Roman" w:cs="Times New Roman"/>
                <w:b/>
                <w:bCs/>
                <w:color w:val="FFFFFF"/>
                <w:sz w:val="20"/>
                <w:szCs w:val="20"/>
                <w:lang w:val="en-US"/>
              </w:rPr>
              <w:t>In-Store</w:t>
            </w:r>
          </w:p>
        </w:tc>
        <w:tc>
          <w:tcPr>
            <w:tcW w:w="1257" w:type="dxa"/>
            <w:tcBorders>
              <w:top w:val="nil"/>
              <w:left w:val="nil"/>
              <w:bottom w:val="single" w:sz="8" w:space="0" w:color="auto"/>
              <w:right w:val="nil"/>
            </w:tcBorders>
            <w:shd w:val="clear" w:color="auto" w:fill="auto"/>
            <w:noWrap/>
            <w:vAlign w:val="center"/>
            <w:hideMark/>
          </w:tcPr>
          <w:p w14:paraId="3BDE8C0E" w14:textId="77777777" w:rsidR="00305F78" w:rsidRPr="00305F78" w:rsidRDefault="00305F78" w:rsidP="00305F78">
            <w:pPr>
              <w:spacing w:after="0" w:line="240" w:lineRule="auto"/>
              <w:jc w:val="center"/>
              <w:rPr>
                <w:rFonts w:eastAsia="Times New Roman" w:cs="Times New Roman"/>
                <w:color w:val="000000"/>
                <w:sz w:val="20"/>
                <w:szCs w:val="20"/>
                <w:lang w:val="en-US"/>
              </w:rPr>
            </w:pPr>
            <w:r w:rsidRPr="00305F78">
              <w:rPr>
                <w:rFonts w:eastAsia="Times New Roman" w:cs="Times New Roman"/>
                <w:color w:val="000000"/>
                <w:sz w:val="20"/>
                <w:szCs w:val="20"/>
                <w:lang w:val="en-US"/>
              </w:rPr>
              <w:t xml:space="preserve">$43.0 </w:t>
            </w:r>
          </w:p>
        </w:tc>
        <w:tc>
          <w:tcPr>
            <w:tcW w:w="1077" w:type="dxa"/>
            <w:tcBorders>
              <w:top w:val="nil"/>
              <w:left w:val="single" w:sz="8" w:space="0" w:color="auto"/>
              <w:bottom w:val="single" w:sz="8" w:space="0" w:color="auto"/>
              <w:right w:val="single" w:sz="8" w:space="0" w:color="auto"/>
            </w:tcBorders>
            <w:shd w:val="clear" w:color="auto" w:fill="auto"/>
            <w:noWrap/>
            <w:vAlign w:val="center"/>
            <w:hideMark/>
          </w:tcPr>
          <w:p w14:paraId="63AFC482" w14:textId="77777777" w:rsidR="00305F78" w:rsidRPr="00305F78" w:rsidRDefault="00305F78" w:rsidP="00305F78">
            <w:pPr>
              <w:spacing w:after="0" w:line="240" w:lineRule="auto"/>
              <w:jc w:val="center"/>
              <w:rPr>
                <w:rFonts w:eastAsia="Times New Roman" w:cs="Times New Roman"/>
                <w:color w:val="000000"/>
                <w:sz w:val="20"/>
                <w:szCs w:val="20"/>
                <w:lang w:val="en-US"/>
              </w:rPr>
            </w:pPr>
            <w:r w:rsidRPr="00305F78">
              <w:rPr>
                <w:rFonts w:eastAsia="Times New Roman" w:cs="Times New Roman"/>
                <w:color w:val="000000"/>
                <w:sz w:val="20"/>
                <w:szCs w:val="20"/>
                <w:lang w:val="en-US"/>
              </w:rPr>
              <w:t xml:space="preserve">$43.6 </w:t>
            </w:r>
          </w:p>
        </w:tc>
        <w:tc>
          <w:tcPr>
            <w:tcW w:w="1077" w:type="dxa"/>
            <w:tcBorders>
              <w:top w:val="nil"/>
              <w:left w:val="nil"/>
              <w:bottom w:val="single" w:sz="8" w:space="0" w:color="auto"/>
              <w:right w:val="nil"/>
            </w:tcBorders>
            <w:shd w:val="clear" w:color="auto" w:fill="auto"/>
            <w:noWrap/>
            <w:vAlign w:val="center"/>
            <w:hideMark/>
          </w:tcPr>
          <w:p w14:paraId="69129DBE" w14:textId="77777777" w:rsidR="00305F78" w:rsidRPr="00305F78" w:rsidRDefault="00305F78" w:rsidP="00305F78">
            <w:pPr>
              <w:spacing w:after="0" w:line="240" w:lineRule="auto"/>
              <w:jc w:val="center"/>
              <w:rPr>
                <w:rFonts w:eastAsia="Times New Roman" w:cs="Times New Roman"/>
                <w:color w:val="000000"/>
                <w:sz w:val="20"/>
                <w:szCs w:val="20"/>
                <w:lang w:val="en-US"/>
              </w:rPr>
            </w:pPr>
            <w:r w:rsidRPr="00305F78">
              <w:rPr>
                <w:rFonts w:eastAsia="Times New Roman" w:cs="Times New Roman"/>
                <w:color w:val="000000"/>
                <w:sz w:val="20"/>
                <w:szCs w:val="20"/>
                <w:lang w:val="en-US"/>
              </w:rPr>
              <w:t xml:space="preserve">$34.9 </w:t>
            </w:r>
          </w:p>
        </w:tc>
        <w:tc>
          <w:tcPr>
            <w:tcW w:w="1077" w:type="dxa"/>
            <w:tcBorders>
              <w:top w:val="nil"/>
              <w:left w:val="single" w:sz="8" w:space="0" w:color="auto"/>
              <w:bottom w:val="single" w:sz="8" w:space="0" w:color="auto"/>
              <w:right w:val="single" w:sz="8" w:space="0" w:color="auto"/>
            </w:tcBorders>
            <w:shd w:val="clear" w:color="auto" w:fill="auto"/>
            <w:noWrap/>
            <w:vAlign w:val="center"/>
            <w:hideMark/>
          </w:tcPr>
          <w:p w14:paraId="0A3A7F28" w14:textId="77777777" w:rsidR="00305F78" w:rsidRPr="00305F78" w:rsidRDefault="00305F78" w:rsidP="00305F78">
            <w:pPr>
              <w:spacing w:after="0" w:line="240" w:lineRule="auto"/>
              <w:jc w:val="center"/>
              <w:rPr>
                <w:rFonts w:eastAsia="Times New Roman" w:cs="Times New Roman"/>
                <w:color w:val="000000"/>
                <w:sz w:val="20"/>
                <w:szCs w:val="20"/>
                <w:lang w:val="en-US"/>
              </w:rPr>
            </w:pPr>
            <w:r w:rsidRPr="00305F78">
              <w:rPr>
                <w:rFonts w:eastAsia="Times New Roman" w:cs="Times New Roman"/>
                <w:color w:val="000000"/>
                <w:sz w:val="20"/>
                <w:szCs w:val="20"/>
                <w:lang w:val="en-US"/>
              </w:rPr>
              <w:t xml:space="preserve">$47.3 </w:t>
            </w:r>
          </w:p>
        </w:tc>
        <w:tc>
          <w:tcPr>
            <w:tcW w:w="1083" w:type="dxa"/>
            <w:tcBorders>
              <w:top w:val="nil"/>
              <w:left w:val="nil"/>
              <w:bottom w:val="single" w:sz="8" w:space="0" w:color="auto"/>
              <w:right w:val="single" w:sz="8" w:space="0" w:color="auto"/>
            </w:tcBorders>
            <w:shd w:val="clear" w:color="auto" w:fill="auto"/>
            <w:noWrap/>
            <w:vAlign w:val="center"/>
            <w:hideMark/>
          </w:tcPr>
          <w:p w14:paraId="012CE20C" w14:textId="77777777" w:rsidR="00305F78" w:rsidRPr="00305F78" w:rsidRDefault="00305F78" w:rsidP="00305F78">
            <w:pPr>
              <w:spacing w:after="0" w:line="240" w:lineRule="auto"/>
              <w:jc w:val="center"/>
              <w:rPr>
                <w:rFonts w:eastAsia="Times New Roman" w:cs="Times New Roman"/>
                <w:color w:val="000000"/>
                <w:sz w:val="20"/>
                <w:szCs w:val="20"/>
                <w:lang w:val="en-US"/>
              </w:rPr>
            </w:pPr>
            <w:r w:rsidRPr="00305F78">
              <w:rPr>
                <w:rFonts w:eastAsia="Times New Roman" w:cs="Times New Roman"/>
                <w:color w:val="000000"/>
                <w:sz w:val="20"/>
                <w:szCs w:val="20"/>
                <w:lang w:val="en-US"/>
              </w:rPr>
              <w:t xml:space="preserve">$57.0 </w:t>
            </w:r>
          </w:p>
        </w:tc>
      </w:tr>
      <w:tr w:rsidR="00305F78" w:rsidRPr="00305F78" w14:paraId="33C751B9" w14:textId="77777777" w:rsidTr="00CB0E30">
        <w:trPr>
          <w:trHeight w:val="326"/>
        </w:trPr>
        <w:tc>
          <w:tcPr>
            <w:tcW w:w="2335" w:type="dxa"/>
            <w:vMerge/>
            <w:tcBorders>
              <w:top w:val="single" w:sz="8" w:space="0" w:color="auto"/>
              <w:left w:val="single" w:sz="8" w:space="0" w:color="auto"/>
              <w:bottom w:val="single" w:sz="8" w:space="0" w:color="000000"/>
              <w:right w:val="single" w:sz="8" w:space="0" w:color="auto"/>
            </w:tcBorders>
            <w:vAlign w:val="center"/>
            <w:hideMark/>
          </w:tcPr>
          <w:p w14:paraId="45A43E6C" w14:textId="77777777" w:rsidR="00305F78" w:rsidRPr="00305F78" w:rsidRDefault="00305F78" w:rsidP="00305F78">
            <w:pPr>
              <w:spacing w:after="0" w:line="240" w:lineRule="auto"/>
              <w:rPr>
                <w:rFonts w:eastAsia="Times New Roman" w:cs="Times New Roman"/>
                <w:b/>
                <w:bCs/>
                <w:color w:val="FFFFFF"/>
                <w:sz w:val="20"/>
                <w:szCs w:val="20"/>
                <w:lang w:val="en-US"/>
              </w:rPr>
            </w:pPr>
          </w:p>
        </w:tc>
        <w:tc>
          <w:tcPr>
            <w:tcW w:w="1616" w:type="dxa"/>
            <w:tcBorders>
              <w:top w:val="nil"/>
              <w:left w:val="nil"/>
              <w:bottom w:val="single" w:sz="8" w:space="0" w:color="auto"/>
              <w:right w:val="single" w:sz="8" w:space="0" w:color="auto"/>
            </w:tcBorders>
            <w:shd w:val="clear" w:color="000000" w:fill="5B9BD5"/>
            <w:vAlign w:val="center"/>
            <w:hideMark/>
          </w:tcPr>
          <w:p w14:paraId="48FB836C" w14:textId="77777777" w:rsidR="00305F78" w:rsidRPr="00305F78" w:rsidRDefault="00305F78" w:rsidP="00305F78">
            <w:pPr>
              <w:spacing w:after="0" w:line="240" w:lineRule="auto"/>
              <w:rPr>
                <w:rFonts w:eastAsia="Times New Roman" w:cs="Times New Roman"/>
                <w:b/>
                <w:bCs/>
                <w:color w:val="FFFFFF"/>
                <w:sz w:val="20"/>
                <w:szCs w:val="20"/>
                <w:lang w:val="en-US"/>
              </w:rPr>
            </w:pPr>
            <w:r w:rsidRPr="00305F78">
              <w:rPr>
                <w:rFonts w:eastAsia="Times New Roman" w:cs="Times New Roman"/>
                <w:b/>
                <w:bCs/>
                <w:color w:val="FFFFFF"/>
                <w:sz w:val="20"/>
                <w:szCs w:val="20"/>
                <w:lang w:val="en-US"/>
              </w:rPr>
              <w:t>E-Commerce</w:t>
            </w:r>
          </w:p>
        </w:tc>
        <w:tc>
          <w:tcPr>
            <w:tcW w:w="1257" w:type="dxa"/>
            <w:tcBorders>
              <w:top w:val="nil"/>
              <w:left w:val="nil"/>
              <w:bottom w:val="single" w:sz="8" w:space="0" w:color="auto"/>
              <w:right w:val="nil"/>
            </w:tcBorders>
            <w:shd w:val="clear" w:color="auto" w:fill="auto"/>
            <w:noWrap/>
            <w:vAlign w:val="center"/>
            <w:hideMark/>
          </w:tcPr>
          <w:p w14:paraId="73EDA1A5" w14:textId="77777777" w:rsidR="00305F78" w:rsidRPr="00305F78" w:rsidRDefault="00305F78" w:rsidP="00305F78">
            <w:pPr>
              <w:spacing w:after="0" w:line="240" w:lineRule="auto"/>
              <w:jc w:val="center"/>
              <w:rPr>
                <w:rFonts w:eastAsia="Times New Roman" w:cs="Times New Roman"/>
                <w:color w:val="000000"/>
                <w:sz w:val="20"/>
                <w:szCs w:val="20"/>
                <w:lang w:val="en-US"/>
              </w:rPr>
            </w:pPr>
            <w:r w:rsidRPr="00305F78">
              <w:rPr>
                <w:rFonts w:eastAsia="Times New Roman" w:cs="Times New Roman"/>
                <w:color w:val="000000"/>
                <w:sz w:val="20"/>
                <w:szCs w:val="20"/>
                <w:lang w:val="en-US"/>
              </w:rPr>
              <w:t xml:space="preserve">$1.6 </w:t>
            </w:r>
          </w:p>
        </w:tc>
        <w:tc>
          <w:tcPr>
            <w:tcW w:w="1077" w:type="dxa"/>
            <w:tcBorders>
              <w:top w:val="nil"/>
              <w:left w:val="single" w:sz="8" w:space="0" w:color="auto"/>
              <w:bottom w:val="single" w:sz="8" w:space="0" w:color="auto"/>
              <w:right w:val="single" w:sz="8" w:space="0" w:color="auto"/>
            </w:tcBorders>
            <w:shd w:val="clear" w:color="auto" w:fill="auto"/>
            <w:noWrap/>
            <w:vAlign w:val="center"/>
            <w:hideMark/>
          </w:tcPr>
          <w:p w14:paraId="7E5F27DB" w14:textId="77777777" w:rsidR="00305F78" w:rsidRPr="00305F78" w:rsidRDefault="00305F78" w:rsidP="00305F78">
            <w:pPr>
              <w:spacing w:after="0" w:line="240" w:lineRule="auto"/>
              <w:jc w:val="center"/>
              <w:rPr>
                <w:rFonts w:eastAsia="Times New Roman" w:cs="Times New Roman"/>
                <w:color w:val="000000"/>
                <w:sz w:val="20"/>
                <w:szCs w:val="20"/>
                <w:lang w:val="en-US"/>
              </w:rPr>
            </w:pPr>
            <w:r w:rsidRPr="00305F78">
              <w:rPr>
                <w:rFonts w:eastAsia="Times New Roman" w:cs="Times New Roman"/>
                <w:color w:val="000000"/>
                <w:sz w:val="20"/>
                <w:szCs w:val="20"/>
                <w:lang w:val="en-US"/>
              </w:rPr>
              <w:t xml:space="preserve">$2.2 </w:t>
            </w:r>
          </w:p>
        </w:tc>
        <w:tc>
          <w:tcPr>
            <w:tcW w:w="1077" w:type="dxa"/>
            <w:tcBorders>
              <w:top w:val="nil"/>
              <w:left w:val="nil"/>
              <w:bottom w:val="single" w:sz="8" w:space="0" w:color="auto"/>
              <w:right w:val="nil"/>
            </w:tcBorders>
            <w:shd w:val="clear" w:color="auto" w:fill="auto"/>
            <w:noWrap/>
            <w:vAlign w:val="center"/>
            <w:hideMark/>
          </w:tcPr>
          <w:p w14:paraId="2388F293" w14:textId="77777777" w:rsidR="00305F78" w:rsidRPr="00305F78" w:rsidRDefault="00305F78" w:rsidP="00305F78">
            <w:pPr>
              <w:spacing w:after="0" w:line="240" w:lineRule="auto"/>
              <w:jc w:val="center"/>
              <w:rPr>
                <w:rFonts w:eastAsia="Times New Roman" w:cs="Times New Roman"/>
                <w:color w:val="000000"/>
                <w:sz w:val="20"/>
                <w:szCs w:val="20"/>
                <w:lang w:val="en-US"/>
              </w:rPr>
            </w:pPr>
            <w:r w:rsidRPr="00305F78">
              <w:rPr>
                <w:rFonts w:eastAsia="Times New Roman" w:cs="Times New Roman"/>
                <w:color w:val="000000"/>
                <w:sz w:val="20"/>
                <w:szCs w:val="20"/>
                <w:lang w:val="en-US"/>
              </w:rPr>
              <w:t xml:space="preserve">$3.6 </w:t>
            </w:r>
          </w:p>
        </w:tc>
        <w:tc>
          <w:tcPr>
            <w:tcW w:w="1077" w:type="dxa"/>
            <w:tcBorders>
              <w:top w:val="nil"/>
              <w:left w:val="single" w:sz="8" w:space="0" w:color="auto"/>
              <w:bottom w:val="single" w:sz="8" w:space="0" w:color="auto"/>
              <w:right w:val="single" w:sz="8" w:space="0" w:color="auto"/>
            </w:tcBorders>
            <w:shd w:val="clear" w:color="auto" w:fill="auto"/>
            <w:noWrap/>
            <w:vAlign w:val="center"/>
            <w:hideMark/>
          </w:tcPr>
          <w:p w14:paraId="57CEA82C" w14:textId="77777777" w:rsidR="00305F78" w:rsidRPr="00305F78" w:rsidRDefault="00305F78" w:rsidP="00305F78">
            <w:pPr>
              <w:spacing w:after="0" w:line="240" w:lineRule="auto"/>
              <w:jc w:val="center"/>
              <w:rPr>
                <w:rFonts w:eastAsia="Times New Roman" w:cs="Times New Roman"/>
                <w:color w:val="000000"/>
                <w:sz w:val="20"/>
                <w:szCs w:val="20"/>
                <w:lang w:val="en-US"/>
              </w:rPr>
            </w:pPr>
            <w:r w:rsidRPr="00305F78">
              <w:rPr>
                <w:rFonts w:eastAsia="Times New Roman" w:cs="Times New Roman"/>
                <w:color w:val="000000"/>
                <w:sz w:val="20"/>
                <w:szCs w:val="20"/>
                <w:lang w:val="en-US"/>
              </w:rPr>
              <w:t xml:space="preserve">$3.9 </w:t>
            </w:r>
          </w:p>
        </w:tc>
        <w:tc>
          <w:tcPr>
            <w:tcW w:w="1083" w:type="dxa"/>
            <w:tcBorders>
              <w:top w:val="nil"/>
              <w:left w:val="nil"/>
              <w:bottom w:val="single" w:sz="8" w:space="0" w:color="auto"/>
              <w:right w:val="single" w:sz="8" w:space="0" w:color="auto"/>
            </w:tcBorders>
            <w:shd w:val="clear" w:color="auto" w:fill="auto"/>
            <w:noWrap/>
            <w:vAlign w:val="center"/>
            <w:hideMark/>
          </w:tcPr>
          <w:p w14:paraId="2E1697B9" w14:textId="77777777" w:rsidR="00305F78" w:rsidRPr="00305F78" w:rsidRDefault="00305F78" w:rsidP="00305F78">
            <w:pPr>
              <w:spacing w:after="0" w:line="240" w:lineRule="auto"/>
              <w:jc w:val="center"/>
              <w:rPr>
                <w:rFonts w:eastAsia="Times New Roman" w:cs="Times New Roman"/>
                <w:color w:val="000000"/>
                <w:sz w:val="20"/>
                <w:szCs w:val="20"/>
                <w:lang w:val="en-US"/>
              </w:rPr>
            </w:pPr>
            <w:r w:rsidRPr="00305F78">
              <w:rPr>
                <w:rFonts w:eastAsia="Times New Roman" w:cs="Times New Roman"/>
                <w:color w:val="000000"/>
                <w:sz w:val="20"/>
                <w:szCs w:val="20"/>
                <w:lang w:val="en-US"/>
              </w:rPr>
              <w:t xml:space="preserve">$3.2 </w:t>
            </w:r>
          </w:p>
        </w:tc>
      </w:tr>
      <w:tr w:rsidR="00305F78" w:rsidRPr="00305F78" w14:paraId="767281D8" w14:textId="77777777" w:rsidTr="00CB0E30">
        <w:trPr>
          <w:trHeight w:val="326"/>
        </w:trPr>
        <w:tc>
          <w:tcPr>
            <w:tcW w:w="2335" w:type="dxa"/>
            <w:vMerge w:val="restart"/>
            <w:tcBorders>
              <w:top w:val="nil"/>
              <w:left w:val="single" w:sz="8" w:space="0" w:color="auto"/>
              <w:bottom w:val="single" w:sz="8" w:space="0" w:color="000000"/>
              <w:right w:val="single" w:sz="8" w:space="0" w:color="auto"/>
            </w:tcBorders>
            <w:shd w:val="clear" w:color="000000" w:fill="5B9BD5"/>
            <w:vAlign w:val="center"/>
            <w:hideMark/>
          </w:tcPr>
          <w:p w14:paraId="009704EC" w14:textId="2138A3F7" w:rsidR="00305F78" w:rsidRPr="00305F78" w:rsidRDefault="00305F78" w:rsidP="00305F78">
            <w:pPr>
              <w:spacing w:after="0" w:line="240" w:lineRule="auto"/>
              <w:jc w:val="center"/>
              <w:rPr>
                <w:rFonts w:eastAsia="Times New Roman" w:cs="Times New Roman"/>
                <w:b/>
                <w:bCs/>
                <w:color w:val="FFFFFF"/>
                <w:sz w:val="20"/>
                <w:szCs w:val="20"/>
                <w:lang w:val="en-US"/>
              </w:rPr>
            </w:pPr>
            <w:r w:rsidRPr="00305F78">
              <w:rPr>
                <w:rFonts w:eastAsia="Times New Roman" w:cs="Times New Roman"/>
                <w:b/>
                <w:bCs/>
                <w:color w:val="FFFFFF"/>
                <w:sz w:val="20"/>
                <w:szCs w:val="20"/>
                <w:lang w:val="en-US"/>
              </w:rPr>
              <w:t xml:space="preserve">Percentage of </w:t>
            </w:r>
            <w:r w:rsidR="00780317">
              <w:rPr>
                <w:rFonts w:eastAsia="Times New Roman" w:cs="Times New Roman"/>
                <w:b/>
                <w:bCs/>
                <w:color w:val="FFFFFF"/>
                <w:sz w:val="20"/>
                <w:szCs w:val="20"/>
                <w:lang w:val="en-US"/>
              </w:rPr>
              <w:t xml:space="preserve">Total </w:t>
            </w:r>
            <w:r w:rsidRPr="00305F78">
              <w:rPr>
                <w:rFonts w:eastAsia="Times New Roman" w:cs="Times New Roman"/>
                <w:b/>
                <w:bCs/>
                <w:color w:val="FFFFFF"/>
                <w:sz w:val="20"/>
                <w:szCs w:val="20"/>
                <w:lang w:val="en-US"/>
              </w:rPr>
              <w:t>Sales</w:t>
            </w:r>
          </w:p>
        </w:tc>
        <w:tc>
          <w:tcPr>
            <w:tcW w:w="1616" w:type="dxa"/>
            <w:tcBorders>
              <w:top w:val="nil"/>
              <w:left w:val="nil"/>
              <w:bottom w:val="single" w:sz="8" w:space="0" w:color="auto"/>
              <w:right w:val="single" w:sz="8" w:space="0" w:color="auto"/>
            </w:tcBorders>
            <w:shd w:val="clear" w:color="000000" w:fill="5B9BD5"/>
            <w:vAlign w:val="center"/>
            <w:hideMark/>
          </w:tcPr>
          <w:p w14:paraId="3CA475A0" w14:textId="77777777" w:rsidR="00305F78" w:rsidRPr="00305F78" w:rsidRDefault="00305F78" w:rsidP="00305F78">
            <w:pPr>
              <w:spacing w:after="0" w:line="240" w:lineRule="auto"/>
              <w:rPr>
                <w:rFonts w:eastAsia="Times New Roman" w:cs="Times New Roman"/>
                <w:b/>
                <w:bCs/>
                <w:color w:val="FFFFFF"/>
                <w:sz w:val="20"/>
                <w:szCs w:val="20"/>
                <w:lang w:val="en-US"/>
              </w:rPr>
            </w:pPr>
            <w:r w:rsidRPr="00305F78">
              <w:rPr>
                <w:rFonts w:eastAsia="Times New Roman" w:cs="Times New Roman"/>
                <w:b/>
                <w:bCs/>
                <w:color w:val="FFFFFF"/>
                <w:sz w:val="20"/>
                <w:szCs w:val="20"/>
                <w:lang w:val="en-US"/>
              </w:rPr>
              <w:t>In-Store</w:t>
            </w:r>
          </w:p>
        </w:tc>
        <w:tc>
          <w:tcPr>
            <w:tcW w:w="1257" w:type="dxa"/>
            <w:tcBorders>
              <w:top w:val="nil"/>
              <w:left w:val="nil"/>
              <w:bottom w:val="single" w:sz="8" w:space="0" w:color="auto"/>
              <w:right w:val="nil"/>
            </w:tcBorders>
            <w:shd w:val="clear" w:color="auto" w:fill="auto"/>
            <w:noWrap/>
            <w:vAlign w:val="center"/>
            <w:hideMark/>
          </w:tcPr>
          <w:p w14:paraId="0C415532" w14:textId="0BA05A8F" w:rsidR="00305F78" w:rsidRPr="00305F78" w:rsidRDefault="00305F78" w:rsidP="00305F78">
            <w:pPr>
              <w:spacing w:after="0" w:line="240" w:lineRule="auto"/>
              <w:jc w:val="center"/>
              <w:rPr>
                <w:rFonts w:eastAsia="Times New Roman" w:cs="Times New Roman"/>
                <w:color w:val="000000"/>
                <w:sz w:val="20"/>
                <w:szCs w:val="20"/>
                <w:lang w:val="en-US"/>
              </w:rPr>
            </w:pPr>
            <w:r>
              <w:rPr>
                <w:rFonts w:eastAsia="Times New Roman" w:cs="Times New Roman"/>
                <w:color w:val="000000"/>
                <w:sz w:val="20"/>
              </w:rPr>
              <w:t>96.4</w:t>
            </w:r>
            <w:r w:rsidRPr="00305F78">
              <w:rPr>
                <w:rFonts w:eastAsia="Times New Roman" w:cs="Times New Roman"/>
                <w:color w:val="000000"/>
                <w:sz w:val="20"/>
              </w:rPr>
              <w:t>%</w:t>
            </w:r>
          </w:p>
        </w:tc>
        <w:tc>
          <w:tcPr>
            <w:tcW w:w="1077" w:type="dxa"/>
            <w:tcBorders>
              <w:top w:val="nil"/>
              <w:left w:val="single" w:sz="8" w:space="0" w:color="auto"/>
              <w:bottom w:val="single" w:sz="8" w:space="0" w:color="auto"/>
              <w:right w:val="single" w:sz="8" w:space="0" w:color="auto"/>
            </w:tcBorders>
            <w:shd w:val="clear" w:color="auto" w:fill="auto"/>
            <w:noWrap/>
            <w:vAlign w:val="center"/>
            <w:hideMark/>
          </w:tcPr>
          <w:p w14:paraId="416E047B" w14:textId="6D697BD3" w:rsidR="00305F78" w:rsidRPr="00305F78" w:rsidRDefault="00305F78" w:rsidP="00305F78">
            <w:pPr>
              <w:spacing w:after="0" w:line="240" w:lineRule="auto"/>
              <w:jc w:val="center"/>
              <w:rPr>
                <w:rFonts w:eastAsia="Times New Roman" w:cs="Times New Roman"/>
                <w:color w:val="000000"/>
                <w:sz w:val="20"/>
                <w:szCs w:val="20"/>
                <w:lang w:val="en-US"/>
              </w:rPr>
            </w:pPr>
            <w:r w:rsidRPr="00305F78">
              <w:rPr>
                <w:rFonts w:eastAsia="Times New Roman" w:cs="Times New Roman"/>
                <w:color w:val="000000"/>
                <w:sz w:val="20"/>
              </w:rPr>
              <w:t>95.2%</w:t>
            </w:r>
          </w:p>
        </w:tc>
        <w:tc>
          <w:tcPr>
            <w:tcW w:w="1077" w:type="dxa"/>
            <w:tcBorders>
              <w:top w:val="nil"/>
              <w:left w:val="nil"/>
              <w:bottom w:val="single" w:sz="8" w:space="0" w:color="auto"/>
              <w:right w:val="nil"/>
            </w:tcBorders>
            <w:shd w:val="clear" w:color="auto" w:fill="auto"/>
            <w:noWrap/>
            <w:vAlign w:val="center"/>
            <w:hideMark/>
          </w:tcPr>
          <w:p w14:paraId="34AEA7B2" w14:textId="02C02E8A" w:rsidR="00305F78" w:rsidRPr="00305F78" w:rsidRDefault="00305F78" w:rsidP="00305F78">
            <w:pPr>
              <w:spacing w:after="0" w:line="240" w:lineRule="auto"/>
              <w:jc w:val="center"/>
              <w:rPr>
                <w:rFonts w:eastAsia="Times New Roman" w:cs="Times New Roman"/>
                <w:color w:val="000000"/>
                <w:sz w:val="20"/>
                <w:szCs w:val="20"/>
                <w:lang w:val="en-US"/>
              </w:rPr>
            </w:pPr>
            <w:r w:rsidRPr="00305F78">
              <w:rPr>
                <w:rFonts w:eastAsia="Times New Roman" w:cs="Times New Roman"/>
                <w:color w:val="000000"/>
                <w:sz w:val="20"/>
              </w:rPr>
              <w:t>90.6%</w:t>
            </w:r>
          </w:p>
        </w:tc>
        <w:tc>
          <w:tcPr>
            <w:tcW w:w="1077" w:type="dxa"/>
            <w:tcBorders>
              <w:top w:val="nil"/>
              <w:left w:val="single" w:sz="8" w:space="0" w:color="auto"/>
              <w:bottom w:val="single" w:sz="8" w:space="0" w:color="auto"/>
              <w:right w:val="single" w:sz="8" w:space="0" w:color="auto"/>
            </w:tcBorders>
            <w:shd w:val="clear" w:color="auto" w:fill="auto"/>
            <w:noWrap/>
            <w:vAlign w:val="center"/>
            <w:hideMark/>
          </w:tcPr>
          <w:p w14:paraId="2B64164E" w14:textId="23A61BC1" w:rsidR="00305F78" w:rsidRPr="00305F78" w:rsidRDefault="00305F78" w:rsidP="00305F78">
            <w:pPr>
              <w:spacing w:after="0" w:line="240" w:lineRule="auto"/>
              <w:jc w:val="center"/>
              <w:rPr>
                <w:rFonts w:eastAsia="Times New Roman" w:cs="Times New Roman"/>
                <w:color w:val="000000"/>
                <w:sz w:val="20"/>
                <w:szCs w:val="20"/>
                <w:lang w:val="en-US"/>
              </w:rPr>
            </w:pPr>
            <w:r w:rsidRPr="00305F78">
              <w:rPr>
                <w:rFonts w:eastAsia="Times New Roman" w:cs="Times New Roman"/>
                <w:color w:val="000000"/>
                <w:sz w:val="20"/>
              </w:rPr>
              <w:t>92.4%</w:t>
            </w:r>
          </w:p>
        </w:tc>
        <w:tc>
          <w:tcPr>
            <w:tcW w:w="1083" w:type="dxa"/>
            <w:tcBorders>
              <w:top w:val="nil"/>
              <w:left w:val="nil"/>
              <w:bottom w:val="single" w:sz="8" w:space="0" w:color="auto"/>
              <w:right w:val="single" w:sz="8" w:space="0" w:color="auto"/>
            </w:tcBorders>
            <w:shd w:val="clear" w:color="auto" w:fill="auto"/>
            <w:noWrap/>
            <w:vAlign w:val="center"/>
            <w:hideMark/>
          </w:tcPr>
          <w:p w14:paraId="39B8827B" w14:textId="368371A9" w:rsidR="00305F78" w:rsidRPr="00305F78" w:rsidRDefault="00305F78" w:rsidP="00305F78">
            <w:pPr>
              <w:spacing w:after="0" w:line="240" w:lineRule="auto"/>
              <w:jc w:val="center"/>
              <w:rPr>
                <w:rFonts w:eastAsia="Times New Roman" w:cs="Times New Roman"/>
                <w:color w:val="000000"/>
                <w:sz w:val="20"/>
                <w:szCs w:val="20"/>
                <w:lang w:val="en-US"/>
              </w:rPr>
            </w:pPr>
            <w:r w:rsidRPr="00305F78">
              <w:rPr>
                <w:rFonts w:eastAsia="Times New Roman" w:cs="Times New Roman"/>
                <w:color w:val="000000"/>
                <w:sz w:val="20"/>
              </w:rPr>
              <w:t>94.6%</w:t>
            </w:r>
          </w:p>
        </w:tc>
      </w:tr>
      <w:tr w:rsidR="00305F78" w:rsidRPr="00305F78" w14:paraId="449696AC" w14:textId="77777777" w:rsidTr="00CB0E30">
        <w:trPr>
          <w:trHeight w:val="85"/>
        </w:trPr>
        <w:tc>
          <w:tcPr>
            <w:tcW w:w="2335" w:type="dxa"/>
            <w:vMerge/>
            <w:tcBorders>
              <w:top w:val="nil"/>
              <w:left w:val="single" w:sz="8" w:space="0" w:color="auto"/>
              <w:bottom w:val="single" w:sz="8" w:space="0" w:color="000000"/>
              <w:right w:val="single" w:sz="8" w:space="0" w:color="auto"/>
            </w:tcBorders>
            <w:vAlign w:val="center"/>
            <w:hideMark/>
          </w:tcPr>
          <w:p w14:paraId="21EC4185" w14:textId="77777777" w:rsidR="00305F78" w:rsidRPr="00305F78" w:rsidRDefault="00305F78" w:rsidP="00305F78">
            <w:pPr>
              <w:spacing w:after="0" w:line="240" w:lineRule="auto"/>
              <w:rPr>
                <w:rFonts w:eastAsia="Times New Roman" w:cs="Times New Roman"/>
                <w:b/>
                <w:bCs/>
                <w:color w:val="FFFFFF"/>
                <w:sz w:val="20"/>
                <w:szCs w:val="20"/>
                <w:lang w:val="en-US"/>
              </w:rPr>
            </w:pPr>
          </w:p>
        </w:tc>
        <w:tc>
          <w:tcPr>
            <w:tcW w:w="1616" w:type="dxa"/>
            <w:tcBorders>
              <w:top w:val="nil"/>
              <w:left w:val="nil"/>
              <w:bottom w:val="single" w:sz="8" w:space="0" w:color="auto"/>
              <w:right w:val="single" w:sz="8" w:space="0" w:color="auto"/>
            </w:tcBorders>
            <w:shd w:val="clear" w:color="000000" w:fill="5B9BD5"/>
            <w:vAlign w:val="center"/>
            <w:hideMark/>
          </w:tcPr>
          <w:p w14:paraId="7F9A3D24" w14:textId="77777777" w:rsidR="00305F78" w:rsidRPr="00305F78" w:rsidRDefault="00305F78" w:rsidP="00305F78">
            <w:pPr>
              <w:spacing w:after="0" w:line="240" w:lineRule="auto"/>
              <w:rPr>
                <w:rFonts w:eastAsia="Times New Roman" w:cs="Times New Roman"/>
                <w:b/>
                <w:bCs/>
                <w:color w:val="FFFFFF"/>
                <w:sz w:val="20"/>
                <w:szCs w:val="20"/>
                <w:lang w:val="en-US"/>
              </w:rPr>
            </w:pPr>
            <w:r w:rsidRPr="00305F78">
              <w:rPr>
                <w:rFonts w:eastAsia="Times New Roman" w:cs="Times New Roman"/>
                <w:b/>
                <w:bCs/>
                <w:color w:val="FFFFFF"/>
                <w:sz w:val="20"/>
                <w:szCs w:val="20"/>
                <w:lang w:val="en-US"/>
              </w:rPr>
              <w:t>E-Commerce</w:t>
            </w:r>
          </w:p>
        </w:tc>
        <w:tc>
          <w:tcPr>
            <w:tcW w:w="1257" w:type="dxa"/>
            <w:tcBorders>
              <w:top w:val="nil"/>
              <w:left w:val="nil"/>
              <w:bottom w:val="single" w:sz="8" w:space="0" w:color="auto"/>
              <w:right w:val="nil"/>
            </w:tcBorders>
            <w:shd w:val="clear" w:color="auto" w:fill="auto"/>
            <w:noWrap/>
            <w:vAlign w:val="center"/>
            <w:hideMark/>
          </w:tcPr>
          <w:p w14:paraId="5B288643" w14:textId="30DBAD1B" w:rsidR="00305F78" w:rsidRPr="00305F78" w:rsidRDefault="00305F78" w:rsidP="00305F78">
            <w:pPr>
              <w:spacing w:after="0" w:line="240" w:lineRule="auto"/>
              <w:jc w:val="center"/>
              <w:rPr>
                <w:rFonts w:eastAsia="Times New Roman" w:cs="Times New Roman"/>
                <w:color w:val="000000"/>
                <w:sz w:val="20"/>
                <w:szCs w:val="20"/>
                <w:lang w:val="en-US"/>
              </w:rPr>
            </w:pPr>
            <w:r>
              <w:rPr>
                <w:rFonts w:eastAsia="Times New Roman" w:cs="Times New Roman"/>
                <w:color w:val="000000"/>
                <w:sz w:val="20"/>
              </w:rPr>
              <w:t>3.6</w:t>
            </w:r>
            <w:r w:rsidRPr="00305F78">
              <w:rPr>
                <w:rFonts w:eastAsia="Times New Roman" w:cs="Times New Roman"/>
                <w:color w:val="000000"/>
                <w:sz w:val="20"/>
              </w:rPr>
              <w:t>%</w:t>
            </w:r>
          </w:p>
        </w:tc>
        <w:tc>
          <w:tcPr>
            <w:tcW w:w="1077" w:type="dxa"/>
            <w:tcBorders>
              <w:top w:val="nil"/>
              <w:left w:val="single" w:sz="8" w:space="0" w:color="auto"/>
              <w:bottom w:val="single" w:sz="8" w:space="0" w:color="auto"/>
              <w:right w:val="single" w:sz="8" w:space="0" w:color="auto"/>
            </w:tcBorders>
            <w:shd w:val="clear" w:color="auto" w:fill="auto"/>
            <w:noWrap/>
            <w:vAlign w:val="center"/>
            <w:hideMark/>
          </w:tcPr>
          <w:p w14:paraId="3CB39FAB" w14:textId="3F3B9FAD" w:rsidR="00305F78" w:rsidRPr="00305F78" w:rsidRDefault="00305F78" w:rsidP="00305F78">
            <w:pPr>
              <w:spacing w:after="0" w:line="240" w:lineRule="auto"/>
              <w:jc w:val="center"/>
              <w:rPr>
                <w:rFonts w:eastAsia="Times New Roman" w:cs="Times New Roman"/>
                <w:color w:val="000000"/>
                <w:sz w:val="20"/>
                <w:szCs w:val="20"/>
                <w:lang w:val="en-US"/>
              </w:rPr>
            </w:pPr>
            <w:r w:rsidRPr="00305F78">
              <w:rPr>
                <w:rFonts w:eastAsia="Times New Roman" w:cs="Times New Roman"/>
                <w:color w:val="000000"/>
                <w:sz w:val="20"/>
              </w:rPr>
              <w:t>4.8%</w:t>
            </w:r>
          </w:p>
        </w:tc>
        <w:tc>
          <w:tcPr>
            <w:tcW w:w="1077" w:type="dxa"/>
            <w:tcBorders>
              <w:top w:val="nil"/>
              <w:left w:val="nil"/>
              <w:bottom w:val="single" w:sz="8" w:space="0" w:color="auto"/>
              <w:right w:val="nil"/>
            </w:tcBorders>
            <w:shd w:val="clear" w:color="auto" w:fill="auto"/>
            <w:noWrap/>
            <w:vAlign w:val="center"/>
            <w:hideMark/>
          </w:tcPr>
          <w:p w14:paraId="5201291A" w14:textId="46BB5666" w:rsidR="00305F78" w:rsidRPr="00305F78" w:rsidRDefault="00305F78" w:rsidP="00305F78">
            <w:pPr>
              <w:spacing w:after="0" w:line="240" w:lineRule="auto"/>
              <w:jc w:val="center"/>
              <w:rPr>
                <w:rFonts w:eastAsia="Times New Roman" w:cs="Times New Roman"/>
                <w:color w:val="000000"/>
                <w:sz w:val="20"/>
                <w:szCs w:val="20"/>
                <w:lang w:val="en-US"/>
              </w:rPr>
            </w:pPr>
            <w:r>
              <w:rPr>
                <w:rFonts w:eastAsia="Times New Roman" w:cs="Times New Roman"/>
                <w:color w:val="000000"/>
                <w:sz w:val="20"/>
              </w:rPr>
              <w:t>9.4</w:t>
            </w:r>
            <w:r w:rsidRPr="00305F78">
              <w:rPr>
                <w:rFonts w:eastAsia="Times New Roman" w:cs="Times New Roman"/>
                <w:color w:val="000000"/>
                <w:sz w:val="20"/>
              </w:rPr>
              <w:t>%</w:t>
            </w:r>
          </w:p>
        </w:tc>
        <w:tc>
          <w:tcPr>
            <w:tcW w:w="1077" w:type="dxa"/>
            <w:tcBorders>
              <w:top w:val="nil"/>
              <w:left w:val="single" w:sz="8" w:space="0" w:color="auto"/>
              <w:bottom w:val="single" w:sz="8" w:space="0" w:color="auto"/>
              <w:right w:val="single" w:sz="8" w:space="0" w:color="auto"/>
            </w:tcBorders>
            <w:shd w:val="clear" w:color="auto" w:fill="auto"/>
            <w:noWrap/>
            <w:vAlign w:val="center"/>
            <w:hideMark/>
          </w:tcPr>
          <w:p w14:paraId="1192BD50" w14:textId="1BEE6504" w:rsidR="00305F78" w:rsidRPr="00305F78" w:rsidRDefault="00305F78" w:rsidP="00305F78">
            <w:pPr>
              <w:spacing w:after="0" w:line="240" w:lineRule="auto"/>
              <w:jc w:val="center"/>
              <w:rPr>
                <w:rFonts w:eastAsia="Times New Roman" w:cs="Times New Roman"/>
                <w:color w:val="000000"/>
                <w:sz w:val="20"/>
                <w:szCs w:val="20"/>
                <w:lang w:val="en-US"/>
              </w:rPr>
            </w:pPr>
            <w:r w:rsidRPr="00305F78">
              <w:rPr>
                <w:rFonts w:eastAsia="Times New Roman" w:cs="Times New Roman"/>
                <w:color w:val="000000"/>
                <w:sz w:val="20"/>
              </w:rPr>
              <w:t>7.6%</w:t>
            </w:r>
          </w:p>
        </w:tc>
        <w:tc>
          <w:tcPr>
            <w:tcW w:w="1083" w:type="dxa"/>
            <w:tcBorders>
              <w:top w:val="nil"/>
              <w:left w:val="nil"/>
              <w:bottom w:val="single" w:sz="8" w:space="0" w:color="auto"/>
              <w:right w:val="single" w:sz="8" w:space="0" w:color="auto"/>
            </w:tcBorders>
            <w:shd w:val="clear" w:color="auto" w:fill="auto"/>
            <w:noWrap/>
            <w:vAlign w:val="center"/>
            <w:hideMark/>
          </w:tcPr>
          <w:p w14:paraId="45756AFF" w14:textId="4A9BD1F3" w:rsidR="00305F78" w:rsidRPr="00305F78" w:rsidRDefault="00305F78" w:rsidP="00305F78">
            <w:pPr>
              <w:spacing w:after="0" w:line="240" w:lineRule="auto"/>
              <w:jc w:val="center"/>
              <w:rPr>
                <w:rFonts w:eastAsia="Times New Roman" w:cs="Times New Roman"/>
                <w:color w:val="000000"/>
                <w:sz w:val="20"/>
                <w:szCs w:val="20"/>
                <w:lang w:val="en-US"/>
              </w:rPr>
            </w:pPr>
            <w:r>
              <w:rPr>
                <w:rFonts w:eastAsia="Times New Roman" w:cs="Times New Roman"/>
                <w:color w:val="000000"/>
                <w:sz w:val="20"/>
              </w:rPr>
              <w:t>5.4</w:t>
            </w:r>
            <w:r w:rsidRPr="00305F78">
              <w:rPr>
                <w:rFonts w:eastAsia="Times New Roman" w:cs="Times New Roman"/>
                <w:color w:val="000000"/>
                <w:sz w:val="20"/>
              </w:rPr>
              <w:t>%</w:t>
            </w:r>
          </w:p>
        </w:tc>
      </w:tr>
    </w:tbl>
    <w:p w14:paraId="25A369A0" w14:textId="77777777" w:rsidR="00856B87" w:rsidRPr="0003054D" w:rsidRDefault="00856B87" w:rsidP="00856B87">
      <w:pPr>
        <w:spacing w:after="120" w:line="257" w:lineRule="auto"/>
        <w:rPr>
          <w:sz w:val="16"/>
        </w:rPr>
      </w:pPr>
      <w:r>
        <w:rPr>
          <w:sz w:val="16"/>
        </w:rPr>
        <w:t xml:space="preserve">Source: </w:t>
      </w:r>
      <w:r w:rsidRPr="00353257">
        <w:rPr>
          <w:sz w:val="16"/>
        </w:rPr>
        <w:t>Statistics Canada, Monthly Retail Trade Program</w:t>
      </w:r>
    </w:p>
    <w:p w14:paraId="76C57843" w14:textId="4F94E916" w:rsidR="00073160" w:rsidRPr="00CF64DC" w:rsidRDefault="00FB5CAC" w:rsidP="6186142D">
      <w:pPr>
        <w:rPr>
          <w:sz w:val="22"/>
        </w:rPr>
      </w:pPr>
      <w:r w:rsidRPr="6186142D">
        <w:rPr>
          <w:sz w:val="22"/>
        </w:rPr>
        <w:t>Though businesses were forced to make abrupt changes</w:t>
      </w:r>
      <w:r w:rsidR="00FE232F" w:rsidRPr="6186142D">
        <w:rPr>
          <w:sz w:val="22"/>
        </w:rPr>
        <w:t xml:space="preserve"> to their methods of sales and consumer engagement</w:t>
      </w:r>
      <w:r w:rsidRPr="003932F9">
        <w:rPr>
          <w:sz w:val="22"/>
        </w:rPr>
        <w:t xml:space="preserve"> du</w:t>
      </w:r>
      <w:r w:rsidR="00FE232F" w:rsidRPr="003932F9">
        <w:rPr>
          <w:sz w:val="22"/>
        </w:rPr>
        <w:t>e to COVID-19</w:t>
      </w:r>
      <w:r w:rsidRPr="003932F9">
        <w:rPr>
          <w:sz w:val="22"/>
        </w:rPr>
        <w:t>,</w:t>
      </w:r>
      <w:r w:rsidR="00FE232F" w:rsidRPr="003932F9">
        <w:rPr>
          <w:sz w:val="22"/>
        </w:rPr>
        <w:t xml:space="preserve"> it is unclear whether those changes will remain after the pandemic.</w:t>
      </w:r>
      <w:r w:rsidRPr="003932F9">
        <w:rPr>
          <w:sz w:val="22"/>
        </w:rPr>
        <w:t xml:space="preserve"> </w:t>
      </w:r>
      <w:r w:rsidR="003932F9" w:rsidRPr="003932F9">
        <w:rPr>
          <w:sz w:val="22"/>
        </w:rPr>
        <w:t>A Brookings Institute report suggested that when the pandemic ends, many traditional retail trade experiences may no longer exist given the adjustments that have been made in response to the pandemic.</w:t>
      </w:r>
      <w:r w:rsidRPr="003932F9">
        <w:rPr>
          <w:rStyle w:val="FootnoteReference"/>
          <w:sz w:val="22"/>
        </w:rPr>
        <w:footnoteReference w:id="6"/>
      </w:r>
      <w:r w:rsidRPr="6186142D">
        <w:rPr>
          <w:sz w:val="22"/>
        </w:rPr>
        <w:t xml:space="preserve"> </w:t>
      </w:r>
      <w:r w:rsidR="000C1057" w:rsidRPr="6186142D">
        <w:rPr>
          <w:sz w:val="22"/>
        </w:rPr>
        <w:t xml:space="preserve">Over the coming months this project will </w:t>
      </w:r>
      <w:r w:rsidR="4685948B" w:rsidRPr="6186142D">
        <w:rPr>
          <w:sz w:val="22"/>
        </w:rPr>
        <w:t xml:space="preserve">monitor </w:t>
      </w:r>
      <w:r w:rsidR="33CC03B3" w:rsidRPr="6186142D">
        <w:rPr>
          <w:sz w:val="22"/>
        </w:rPr>
        <w:t>local and national indicators for retail trade</w:t>
      </w:r>
      <w:r w:rsidR="4E5BE567" w:rsidRPr="6186142D">
        <w:rPr>
          <w:sz w:val="22"/>
        </w:rPr>
        <w:t xml:space="preserve"> to </w:t>
      </w:r>
      <w:r w:rsidR="00CF64DC" w:rsidRPr="6186142D">
        <w:rPr>
          <w:sz w:val="22"/>
        </w:rPr>
        <w:t xml:space="preserve"> help us better understand whether COVID-19 </w:t>
      </w:r>
      <w:r w:rsidR="00305F78" w:rsidRPr="6186142D">
        <w:rPr>
          <w:sz w:val="22"/>
        </w:rPr>
        <w:t>is</w:t>
      </w:r>
      <w:r w:rsidR="00CF64DC" w:rsidRPr="6186142D">
        <w:rPr>
          <w:sz w:val="22"/>
        </w:rPr>
        <w:t xml:space="preserve"> as a catalyst </w:t>
      </w:r>
      <w:r w:rsidR="00305F78" w:rsidRPr="6186142D">
        <w:rPr>
          <w:sz w:val="22"/>
        </w:rPr>
        <w:t>for long-</w:t>
      </w:r>
      <w:r w:rsidR="00CF64DC" w:rsidRPr="6186142D">
        <w:rPr>
          <w:sz w:val="22"/>
        </w:rPr>
        <w:t xml:space="preserve">term change within retail trade, or </w:t>
      </w:r>
      <w:r w:rsidR="000C1057" w:rsidRPr="6186142D">
        <w:rPr>
          <w:sz w:val="22"/>
        </w:rPr>
        <w:t xml:space="preserve">is better understood to be </w:t>
      </w:r>
      <w:r w:rsidR="00CF64DC" w:rsidRPr="6186142D">
        <w:rPr>
          <w:sz w:val="22"/>
        </w:rPr>
        <w:t xml:space="preserve">a </w:t>
      </w:r>
      <w:r w:rsidR="000C1057" w:rsidRPr="6186142D">
        <w:rPr>
          <w:sz w:val="22"/>
        </w:rPr>
        <w:t xml:space="preserve">large, </w:t>
      </w:r>
      <w:r w:rsidR="00CF64DC" w:rsidRPr="6186142D">
        <w:rPr>
          <w:sz w:val="22"/>
        </w:rPr>
        <w:t>short-term</w:t>
      </w:r>
      <w:r w:rsidR="000C1057" w:rsidRPr="6186142D">
        <w:rPr>
          <w:sz w:val="22"/>
        </w:rPr>
        <w:t>,</w:t>
      </w:r>
      <w:r w:rsidR="00CF64DC" w:rsidRPr="6186142D">
        <w:rPr>
          <w:sz w:val="22"/>
        </w:rPr>
        <w:t xml:space="preserve"> shock.</w:t>
      </w:r>
    </w:p>
    <w:sectPr w:rsidR="00073160" w:rsidRPr="00CF64DC" w:rsidSect="00CF64DC">
      <w:headerReference w:type="default" r:id="rId11"/>
      <w:footerReference w:type="default" r:id="rId12"/>
      <w:pgSz w:w="12240" w:h="15840"/>
      <w:pgMar w:top="1350" w:right="1440" w:bottom="810" w:left="1440" w:header="720" w:footer="720"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75849926" w16cex:dateUtc="2020-09-10T15:22:06.697Z"/>
  <w16cex:commentExtensible w16cex:durableId="4ED4BE1C" w16cex:dateUtc="2020-09-10T15:22:46.774Z"/>
  <w16cex:commentExtensible w16cex:durableId="4168660B" w16cex:dateUtc="2020-09-10T15:23:56.066Z"/>
  <w16cex:commentExtensible w16cex:durableId="16468E89" w16cex:dateUtc="2020-09-10T15:33:24.22Z"/>
</w16cex:commentsExtensible>
</file>

<file path=word/commentsIds.xml><?xml version="1.0" encoding="utf-8"?>
<w16cid:commentsIds xmlns:mc="http://schemas.openxmlformats.org/markup-compatibility/2006" xmlns:w16cid="http://schemas.microsoft.com/office/word/2016/wordml/cid" mc:Ignorable="w16cid">
  <w16cid:commentId w16cid:paraId="6B93F06F" w16cid:durableId="75849926"/>
  <w16cid:commentId w16cid:paraId="7A401B69" w16cid:durableId="4ED4BE1C"/>
  <w16cid:commentId w16cid:paraId="50DCE5E6" w16cid:durableId="4168660B"/>
  <w16cid:commentId w16cid:paraId="1A20CF62" w16cid:durableId="16468E8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54919B" w14:textId="77777777" w:rsidR="00D6513C" w:rsidRDefault="00D6513C" w:rsidP="00856B87">
      <w:pPr>
        <w:spacing w:after="0" w:line="240" w:lineRule="auto"/>
      </w:pPr>
      <w:r>
        <w:separator/>
      </w:r>
    </w:p>
  </w:endnote>
  <w:endnote w:type="continuationSeparator" w:id="0">
    <w:p w14:paraId="06711055" w14:textId="77777777" w:rsidR="00D6513C" w:rsidRDefault="00D6513C" w:rsidP="00856B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6A0" w:firstRow="1" w:lastRow="0" w:firstColumn="1" w:lastColumn="0" w:noHBand="1" w:noVBand="1"/>
    </w:tblPr>
    <w:tblGrid>
      <w:gridCol w:w="3120"/>
      <w:gridCol w:w="3120"/>
      <w:gridCol w:w="3120"/>
    </w:tblGrid>
    <w:tr w:rsidR="2425767D" w14:paraId="1DCDAAD9" w14:textId="77777777" w:rsidTr="2425767D">
      <w:tc>
        <w:tcPr>
          <w:tcW w:w="3120" w:type="dxa"/>
        </w:tcPr>
        <w:p w14:paraId="79761B1D" w14:textId="7D297C45" w:rsidR="2425767D" w:rsidRDefault="2425767D" w:rsidP="2425767D">
          <w:pPr>
            <w:pStyle w:val="Header"/>
            <w:ind w:left="-115"/>
          </w:pPr>
        </w:p>
      </w:tc>
      <w:tc>
        <w:tcPr>
          <w:tcW w:w="3120" w:type="dxa"/>
        </w:tcPr>
        <w:p w14:paraId="69669304" w14:textId="225347C0" w:rsidR="2425767D" w:rsidRDefault="2425767D" w:rsidP="2425767D">
          <w:pPr>
            <w:pStyle w:val="Header"/>
            <w:jc w:val="center"/>
          </w:pPr>
        </w:p>
      </w:tc>
      <w:tc>
        <w:tcPr>
          <w:tcW w:w="3120" w:type="dxa"/>
        </w:tcPr>
        <w:p w14:paraId="1CE0F9B8" w14:textId="6676BB21" w:rsidR="2425767D" w:rsidRDefault="2425767D" w:rsidP="2425767D">
          <w:pPr>
            <w:pStyle w:val="Header"/>
            <w:ind w:right="-115"/>
            <w:jc w:val="right"/>
          </w:pPr>
        </w:p>
      </w:tc>
    </w:tr>
  </w:tbl>
  <w:p w14:paraId="6F30347C" w14:textId="73DEB594" w:rsidR="2425767D" w:rsidRDefault="2425767D" w:rsidP="242576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4B68A6" w14:textId="77777777" w:rsidR="00D6513C" w:rsidRDefault="00D6513C" w:rsidP="00856B87">
      <w:pPr>
        <w:spacing w:after="0" w:line="240" w:lineRule="auto"/>
      </w:pPr>
      <w:r>
        <w:separator/>
      </w:r>
    </w:p>
  </w:footnote>
  <w:footnote w:type="continuationSeparator" w:id="0">
    <w:p w14:paraId="4F40D216" w14:textId="77777777" w:rsidR="00D6513C" w:rsidRDefault="00D6513C" w:rsidP="00856B87">
      <w:pPr>
        <w:spacing w:after="0" w:line="240" w:lineRule="auto"/>
      </w:pPr>
      <w:r>
        <w:continuationSeparator/>
      </w:r>
    </w:p>
  </w:footnote>
  <w:footnote w:id="1">
    <w:p w14:paraId="005D194E" w14:textId="77777777" w:rsidR="00856B87" w:rsidRPr="00297D60" w:rsidRDefault="00856B87" w:rsidP="00856B87">
      <w:pPr>
        <w:pStyle w:val="FootnoteText"/>
        <w:contextualSpacing/>
        <w:rPr>
          <w:sz w:val="16"/>
          <w:szCs w:val="16"/>
          <w:lang w:val="en-US"/>
        </w:rPr>
      </w:pPr>
      <w:r w:rsidRPr="00297D60">
        <w:rPr>
          <w:rStyle w:val="FootnoteReference"/>
          <w:sz w:val="16"/>
          <w:szCs w:val="16"/>
        </w:rPr>
        <w:footnoteRef/>
      </w:r>
      <w:r w:rsidRPr="00297D60">
        <w:rPr>
          <w:sz w:val="16"/>
          <w:szCs w:val="16"/>
        </w:rPr>
        <w:t xml:space="preserve"> </w:t>
      </w:r>
      <w:r>
        <w:rPr>
          <w:sz w:val="16"/>
          <w:szCs w:val="16"/>
        </w:rPr>
        <w:t xml:space="preserve">Deloitte. 2020. </w:t>
      </w:r>
      <w:r w:rsidRPr="00297D60">
        <w:rPr>
          <w:i/>
          <w:sz w:val="16"/>
          <w:szCs w:val="16"/>
        </w:rPr>
        <w:t>COVID-19: Voice of Canadians and Impact to Retailers.</w:t>
      </w:r>
      <w:r>
        <w:rPr>
          <w:sz w:val="16"/>
          <w:szCs w:val="16"/>
        </w:rPr>
        <w:t xml:space="preserve"> </w:t>
      </w:r>
    </w:p>
  </w:footnote>
  <w:footnote w:id="2">
    <w:p w14:paraId="0EA070CC" w14:textId="77777777" w:rsidR="00856B87" w:rsidRPr="00297D60" w:rsidRDefault="00856B87" w:rsidP="00856B87">
      <w:pPr>
        <w:pStyle w:val="FootnoteText"/>
        <w:contextualSpacing/>
        <w:rPr>
          <w:sz w:val="16"/>
          <w:szCs w:val="16"/>
          <w:lang w:val="en-US"/>
        </w:rPr>
      </w:pPr>
      <w:r w:rsidRPr="00297D60">
        <w:rPr>
          <w:rStyle w:val="FootnoteReference"/>
          <w:sz w:val="16"/>
          <w:szCs w:val="16"/>
        </w:rPr>
        <w:footnoteRef/>
      </w:r>
      <w:r w:rsidRPr="00297D60">
        <w:rPr>
          <w:sz w:val="16"/>
          <w:szCs w:val="16"/>
        </w:rPr>
        <w:t xml:space="preserve"> </w:t>
      </w:r>
      <w:r>
        <w:rPr>
          <w:sz w:val="16"/>
          <w:szCs w:val="16"/>
        </w:rPr>
        <w:t xml:space="preserve">Ibid. </w:t>
      </w:r>
    </w:p>
  </w:footnote>
  <w:footnote w:id="3">
    <w:p w14:paraId="04BC1959" w14:textId="77777777" w:rsidR="009A18F3" w:rsidRPr="00A448FE" w:rsidRDefault="009A18F3" w:rsidP="009A18F3">
      <w:pPr>
        <w:pStyle w:val="FootnoteText"/>
        <w:rPr>
          <w:sz w:val="16"/>
          <w:szCs w:val="16"/>
          <w:lang w:val="en-US"/>
        </w:rPr>
      </w:pPr>
      <w:r>
        <w:rPr>
          <w:rStyle w:val="FootnoteReference"/>
        </w:rPr>
        <w:footnoteRef/>
      </w:r>
      <w:r>
        <w:t xml:space="preserve"> </w:t>
      </w:r>
      <w:r>
        <w:rPr>
          <w:sz w:val="16"/>
          <w:szCs w:val="16"/>
        </w:rPr>
        <w:t xml:space="preserve">Statistics Canada Retail Trade Survey (monthly), Survey 2406. </w:t>
      </w:r>
      <w:hyperlink r:id="rId1" w:history="1">
        <w:r w:rsidRPr="005F1BD2">
          <w:rPr>
            <w:rStyle w:val="Hyperlink"/>
            <w:sz w:val="16"/>
            <w:szCs w:val="16"/>
          </w:rPr>
          <w:t>https://www150.statcan.gc.ca/n1/en/daily-quotidien/200721/dq200721a-eng.pdf?st=b2h6SYqY</w:t>
        </w:r>
      </w:hyperlink>
      <w:r>
        <w:rPr>
          <w:sz w:val="16"/>
          <w:szCs w:val="16"/>
        </w:rPr>
        <w:t xml:space="preserve"> </w:t>
      </w:r>
    </w:p>
  </w:footnote>
  <w:footnote w:id="4">
    <w:p w14:paraId="30DBDE15" w14:textId="510F71A4" w:rsidR="009A18F3" w:rsidRPr="009A18F3" w:rsidRDefault="009A18F3">
      <w:pPr>
        <w:pStyle w:val="FootnoteText"/>
        <w:rPr>
          <w:sz w:val="16"/>
          <w:szCs w:val="16"/>
          <w:lang w:val="en-US"/>
        </w:rPr>
      </w:pPr>
      <w:r w:rsidRPr="009A18F3">
        <w:rPr>
          <w:rStyle w:val="FootnoteReference"/>
          <w:sz w:val="16"/>
          <w:szCs w:val="16"/>
        </w:rPr>
        <w:footnoteRef/>
      </w:r>
      <w:r w:rsidRPr="009A18F3">
        <w:rPr>
          <w:sz w:val="16"/>
          <w:szCs w:val="16"/>
        </w:rPr>
        <w:t xml:space="preserve"> Niagara COVID-19</w:t>
      </w:r>
      <w:r>
        <w:rPr>
          <w:sz w:val="16"/>
          <w:szCs w:val="16"/>
        </w:rPr>
        <w:t xml:space="preserve"> Business Impact Survey Part 2. </w:t>
      </w:r>
      <w:r w:rsidRPr="009A18F3">
        <w:rPr>
          <w:sz w:val="16"/>
          <w:szCs w:val="16"/>
        </w:rPr>
        <w:t>https://niagaracanada.com/wp-content/uploads/sites/7/2020/06/COVID-2-Report_Final-Draft.pdf</w:t>
      </w:r>
    </w:p>
  </w:footnote>
  <w:footnote w:id="5">
    <w:p w14:paraId="66C6C440" w14:textId="77777777" w:rsidR="00856B87" w:rsidRPr="009E1233" w:rsidRDefault="00856B87" w:rsidP="00856B87">
      <w:pPr>
        <w:pStyle w:val="FootnoteText"/>
        <w:contextualSpacing/>
        <w:rPr>
          <w:sz w:val="16"/>
          <w:szCs w:val="16"/>
          <w:lang w:val="en-US"/>
        </w:rPr>
      </w:pPr>
      <w:r w:rsidRPr="00297D60">
        <w:rPr>
          <w:rStyle w:val="FootnoteReference"/>
          <w:sz w:val="16"/>
          <w:szCs w:val="16"/>
        </w:rPr>
        <w:footnoteRef/>
      </w:r>
      <w:r w:rsidRPr="00297D60">
        <w:rPr>
          <w:sz w:val="16"/>
          <w:szCs w:val="16"/>
        </w:rPr>
        <w:t xml:space="preserve"> </w:t>
      </w:r>
      <w:r>
        <w:rPr>
          <w:sz w:val="16"/>
          <w:szCs w:val="16"/>
        </w:rPr>
        <w:t xml:space="preserve">Aston, J.; Vipond, O.; Virgin, K.; and Youssof, O. 2020. </w:t>
      </w:r>
      <w:r>
        <w:rPr>
          <w:i/>
          <w:sz w:val="16"/>
          <w:szCs w:val="16"/>
        </w:rPr>
        <w:t>Retail e-commerce and COVID-19: How online shopping opened doors while many were closing.</w:t>
      </w:r>
    </w:p>
  </w:footnote>
  <w:footnote w:id="6">
    <w:p w14:paraId="6576E344" w14:textId="77777777" w:rsidR="00FB5CAC" w:rsidRPr="009E1233" w:rsidRDefault="00FB5CAC" w:rsidP="00FB5CAC">
      <w:pPr>
        <w:pStyle w:val="FootnoteText"/>
        <w:contextualSpacing/>
        <w:rPr>
          <w:i/>
          <w:sz w:val="16"/>
          <w:szCs w:val="16"/>
          <w:lang w:val="en-US"/>
        </w:rPr>
      </w:pPr>
      <w:r w:rsidRPr="00297D60">
        <w:rPr>
          <w:rStyle w:val="FootnoteReference"/>
          <w:sz w:val="16"/>
          <w:szCs w:val="16"/>
        </w:rPr>
        <w:footnoteRef/>
      </w:r>
      <w:r w:rsidRPr="00297D60">
        <w:rPr>
          <w:sz w:val="16"/>
          <w:szCs w:val="16"/>
        </w:rPr>
        <w:t xml:space="preserve"> </w:t>
      </w:r>
      <w:r>
        <w:rPr>
          <w:sz w:val="16"/>
          <w:szCs w:val="16"/>
        </w:rPr>
        <w:t xml:space="preserve">Loh, Tracy H. 2020. </w:t>
      </w:r>
      <w:r w:rsidRPr="000C1057">
        <w:rPr>
          <w:sz w:val="16"/>
          <w:szCs w:val="16"/>
        </w:rPr>
        <w:t>Brookings Institute:</w:t>
      </w:r>
      <w:r>
        <w:rPr>
          <w:sz w:val="16"/>
          <w:szCs w:val="16"/>
        </w:rPr>
        <w:t xml:space="preserve"> </w:t>
      </w:r>
      <w:r>
        <w:rPr>
          <w:i/>
          <w:sz w:val="16"/>
          <w:szCs w:val="16"/>
        </w:rPr>
        <w:t>COVID-19 will upend retail, but there are steps we can take to save it.</w:t>
      </w:r>
      <w:r w:rsidRPr="009E1233">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6A0" w:firstRow="1" w:lastRow="0" w:firstColumn="1" w:lastColumn="0" w:noHBand="1" w:noVBand="1"/>
    </w:tblPr>
    <w:tblGrid>
      <w:gridCol w:w="3120"/>
      <w:gridCol w:w="3120"/>
      <w:gridCol w:w="3120"/>
    </w:tblGrid>
    <w:tr w:rsidR="2425767D" w14:paraId="16DDFB28" w14:textId="77777777" w:rsidTr="2425767D">
      <w:tc>
        <w:tcPr>
          <w:tcW w:w="3120" w:type="dxa"/>
        </w:tcPr>
        <w:p w14:paraId="0ADCEE18" w14:textId="1C07C44C" w:rsidR="2425767D" w:rsidRDefault="2425767D" w:rsidP="2425767D">
          <w:pPr>
            <w:pStyle w:val="Header"/>
            <w:ind w:left="-115"/>
          </w:pPr>
        </w:p>
      </w:tc>
      <w:tc>
        <w:tcPr>
          <w:tcW w:w="3120" w:type="dxa"/>
        </w:tcPr>
        <w:p w14:paraId="199D9EFE" w14:textId="271E668A" w:rsidR="2425767D" w:rsidRDefault="2425767D" w:rsidP="2425767D">
          <w:pPr>
            <w:pStyle w:val="Header"/>
            <w:jc w:val="center"/>
          </w:pPr>
        </w:p>
      </w:tc>
      <w:tc>
        <w:tcPr>
          <w:tcW w:w="3120" w:type="dxa"/>
        </w:tcPr>
        <w:p w14:paraId="31C9A0B5" w14:textId="56D6D011" w:rsidR="2425767D" w:rsidRDefault="2425767D" w:rsidP="2425767D">
          <w:pPr>
            <w:pStyle w:val="Header"/>
            <w:ind w:right="-115"/>
            <w:jc w:val="right"/>
          </w:pPr>
        </w:p>
      </w:tc>
    </w:tr>
  </w:tbl>
  <w:p w14:paraId="404035E5" w14:textId="06B66265" w:rsidR="2425767D" w:rsidRDefault="2425767D" w:rsidP="2425767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B87"/>
    <w:rsid w:val="000C1057"/>
    <w:rsid w:val="000D1382"/>
    <w:rsid w:val="00196EFF"/>
    <w:rsid w:val="001C3683"/>
    <w:rsid w:val="001D0D98"/>
    <w:rsid w:val="001D2CD1"/>
    <w:rsid w:val="001F5440"/>
    <w:rsid w:val="00214447"/>
    <w:rsid w:val="0025399B"/>
    <w:rsid w:val="00266120"/>
    <w:rsid w:val="00271765"/>
    <w:rsid w:val="00283850"/>
    <w:rsid w:val="002C7DAF"/>
    <w:rsid w:val="00302F6E"/>
    <w:rsid w:val="00305F78"/>
    <w:rsid w:val="003108F5"/>
    <w:rsid w:val="00345B0A"/>
    <w:rsid w:val="003932F9"/>
    <w:rsid w:val="003A6046"/>
    <w:rsid w:val="003B0097"/>
    <w:rsid w:val="003D211B"/>
    <w:rsid w:val="003F7A35"/>
    <w:rsid w:val="00441529"/>
    <w:rsid w:val="0046651D"/>
    <w:rsid w:val="00477541"/>
    <w:rsid w:val="00485ACF"/>
    <w:rsid w:val="004A262C"/>
    <w:rsid w:val="004D2089"/>
    <w:rsid w:val="004E7B28"/>
    <w:rsid w:val="005844BE"/>
    <w:rsid w:val="005A79A9"/>
    <w:rsid w:val="00602565"/>
    <w:rsid w:val="0064627D"/>
    <w:rsid w:val="006A4413"/>
    <w:rsid w:val="006E6351"/>
    <w:rsid w:val="006F17B6"/>
    <w:rsid w:val="0072B567"/>
    <w:rsid w:val="007722D2"/>
    <w:rsid w:val="00780317"/>
    <w:rsid w:val="007D6656"/>
    <w:rsid w:val="00856B87"/>
    <w:rsid w:val="00884642"/>
    <w:rsid w:val="00884E8D"/>
    <w:rsid w:val="008C45E4"/>
    <w:rsid w:val="00933341"/>
    <w:rsid w:val="00964591"/>
    <w:rsid w:val="009A18F3"/>
    <w:rsid w:val="00A1142C"/>
    <w:rsid w:val="00A33E5E"/>
    <w:rsid w:val="00A405D7"/>
    <w:rsid w:val="00A448FE"/>
    <w:rsid w:val="00A743D2"/>
    <w:rsid w:val="00AA15E5"/>
    <w:rsid w:val="00AA3CF7"/>
    <w:rsid w:val="00AA5F2D"/>
    <w:rsid w:val="00AC11AD"/>
    <w:rsid w:val="00AE1EFB"/>
    <w:rsid w:val="00AF34E4"/>
    <w:rsid w:val="00B006F3"/>
    <w:rsid w:val="00B7060F"/>
    <w:rsid w:val="00B91537"/>
    <w:rsid w:val="00BE0945"/>
    <w:rsid w:val="00C02DAD"/>
    <w:rsid w:val="00CB0E30"/>
    <w:rsid w:val="00CF64DC"/>
    <w:rsid w:val="00CF7E5A"/>
    <w:rsid w:val="00D07AB7"/>
    <w:rsid w:val="00D2025A"/>
    <w:rsid w:val="00D256B4"/>
    <w:rsid w:val="00D53984"/>
    <w:rsid w:val="00D6513C"/>
    <w:rsid w:val="00D774FB"/>
    <w:rsid w:val="00E733A3"/>
    <w:rsid w:val="00EA1EFA"/>
    <w:rsid w:val="00ED5AA2"/>
    <w:rsid w:val="00EE4AB3"/>
    <w:rsid w:val="00F33FEC"/>
    <w:rsid w:val="00F91F85"/>
    <w:rsid w:val="00F92BD6"/>
    <w:rsid w:val="00FA2F03"/>
    <w:rsid w:val="00FB5CAC"/>
    <w:rsid w:val="00FE232F"/>
    <w:rsid w:val="03CDDEC0"/>
    <w:rsid w:val="0C788DC9"/>
    <w:rsid w:val="0E5B37AD"/>
    <w:rsid w:val="106DF16E"/>
    <w:rsid w:val="16EBA243"/>
    <w:rsid w:val="2281A817"/>
    <w:rsid w:val="2425767D"/>
    <w:rsid w:val="32697F6E"/>
    <w:rsid w:val="33CC03B3"/>
    <w:rsid w:val="3662DA4E"/>
    <w:rsid w:val="3680638A"/>
    <w:rsid w:val="3EC0B27E"/>
    <w:rsid w:val="4685948B"/>
    <w:rsid w:val="47561EC6"/>
    <w:rsid w:val="478329DD"/>
    <w:rsid w:val="485EEAEA"/>
    <w:rsid w:val="4E5BE567"/>
    <w:rsid w:val="52118E26"/>
    <w:rsid w:val="53E0FE85"/>
    <w:rsid w:val="55344E6F"/>
    <w:rsid w:val="55645647"/>
    <w:rsid w:val="59DED796"/>
    <w:rsid w:val="5BC674C6"/>
    <w:rsid w:val="60BE7C95"/>
    <w:rsid w:val="6186142D"/>
    <w:rsid w:val="65787D17"/>
    <w:rsid w:val="699C8740"/>
    <w:rsid w:val="6B2AA93C"/>
    <w:rsid w:val="6B538ACB"/>
    <w:rsid w:val="71517AA6"/>
    <w:rsid w:val="7A995CA1"/>
    <w:rsid w:val="7E2EBEE8"/>
    <w:rsid w:val="7FE65D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37063"/>
  <w15:chartTrackingRefBased/>
  <w15:docId w15:val="{4128190E-DD8D-4097-B16B-3E30E257F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Gothic" w:eastAsiaTheme="minorHAnsi" w:hAnsi="Century Gothic"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6B87"/>
    <w:pPr>
      <w:spacing w:line="256" w:lineRule="auto"/>
    </w:pPr>
    <w:rPr>
      <w:sz w:val="24"/>
      <w:lang w:val="en-CA"/>
    </w:rPr>
  </w:style>
  <w:style w:type="paragraph" w:styleId="Heading1">
    <w:name w:val="heading 1"/>
    <w:basedOn w:val="Normal"/>
    <w:next w:val="Normal"/>
    <w:link w:val="Heading1Char"/>
    <w:uiPriority w:val="9"/>
    <w:qFormat/>
    <w:rsid w:val="00856B8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6459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6B87"/>
    <w:rPr>
      <w:rFonts w:asciiTheme="majorHAnsi" w:eastAsiaTheme="majorEastAsia" w:hAnsiTheme="majorHAnsi" w:cstheme="majorBidi"/>
      <w:color w:val="2E74B5" w:themeColor="accent1" w:themeShade="BF"/>
      <w:sz w:val="32"/>
      <w:szCs w:val="32"/>
      <w:lang w:val="en-CA"/>
    </w:rPr>
  </w:style>
  <w:style w:type="character" w:styleId="CommentReference">
    <w:name w:val="annotation reference"/>
    <w:basedOn w:val="DefaultParagraphFont"/>
    <w:uiPriority w:val="99"/>
    <w:semiHidden/>
    <w:unhideWhenUsed/>
    <w:rsid w:val="00856B87"/>
    <w:rPr>
      <w:sz w:val="16"/>
      <w:szCs w:val="16"/>
    </w:rPr>
  </w:style>
  <w:style w:type="paragraph" w:styleId="CommentText">
    <w:name w:val="annotation text"/>
    <w:basedOn w:val="Normal"/>
    <w:link w:val="CommentTextChar"/>
    <w:uiPriority w:val="99"/>
    <w:unhideWhenUsed/>
    <w:rsid w:val="00856B87"/>
    <w:pPr>
      <w:spacing w:line="240" w:lineRule="auto"/>
    </w:pPr>
    <w:rPr>
      <w:sz w:val="20"/>
      <w:szCs w:val="20"/>
    </w:rPr>
  </w:style>
  <w:style w:type="character" w:customStyle="1" w:styleId="CommentTextChar">
    <w:name w:val="Comment Text Char"/>
    <w:basedOn w:val="DefaultParagraphFont"/>
    <w:link w:val="CommentText"/>
    <w:uiPriority w:val="99"/>
    <w:rsid w:val="00856B87"/>
    <w:rPr>
      <w:sz w:val="20"/>
      <w:szCs w:val="20"/>
      <w:lang w:val="en-CA"/>
    </w:rPr>
  </w:style>
  <w:style w:type="paragraph" w:styleId="FootnoteText">
    <w:name w:val="footnote text"/>
    <w:basedOn w:val="Normal"/>
    <w:link w:val="FootnoteTextChar"/>
    <w:uiPriority w:val="99"/>
    <w:unhideWhenUsed/>
    <w:rsid w:val="00856B87"/>
    <w:pPr>
      <w:spacing w:after="0" w:line="240" w:lineRule="auto"/>
    </w:pPr>
    <w:rPr>
      <w:sz w:val="20"/>
      <w:szCs w:val="20"/>
    </w:rPr>
  </w:style>
  <w:style w:type="character" w:customStyle="1" w:styleId="FootnoteTextChar">
    <w:name w:val="Footnote Text Char"/>
    <w:basedOn w:val="DefaultParagraphFont"/>
    <w:link w:val="FootnoteText"/>
    <w:uiPriority w:val="99"/>
    <w:rsid w:val="00856B87"/>
    <w:rPr>
      <w:sz w:val="20"/>
      <w:szCs w:val="20"/>
      <w:lang w:val="en-CA"/>
    </w:rPr>
  </w:style>
  <w:style w:type="character" w:styleId="FootnoteReference">
    <w:name w:val="footnote reference"/>
    <w:basedOn w:val="DefaultParagraphFont"/>
    <w:uiPriority w:val="99"/>
    <w:semiHidden/>
    <w:unhideWhenUsed/>
    <w:rsid w:val="00856B87"/>
    <w:rPr>
      <w:vertAlign w:val="superscript"/>
    </w:rPr>
  </w:style>
  <w:style w:type="paragraph" w:styleId="BalloonText">
    <w:name w:val="Balloon Text"/>
    <w:basedOn w:val="Normal"/>
    <w:link w:val="BalloonTextChar"/>
    <w:uiPriority w:val="99"/>
    <w:semiHidden/>
    <w:unhideWhenUsed/>
    <w:rsid w:val="00856B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6B87"/>
    <w:rPr>
      <w:rFonts w:ascii="Segoe UI" w:hAnsi="Segoe UI" w:cs="Segoe UI"/>
      <w:sz w:val="18"/>
      <w:szCs w:val="18"/>
      <w:lang w:val="en-CA"/>
    </w:rPr>
  </w:style>
  <w:style w:type="paragraph" w:styleId="CommentSubject">
    <w:name w:val="annotation subject"/>
    <w:basedOn w:val="CommentText"/>
    <w:next w:val="CommentText"/>
    <w:link w:val="CommentSubjectChar"/>
    <w:uiPriority w:val="99"/>
    <w:semiHidden/>
    <w:unhideWhenUsed/>
    <w:rsid w:val="00964591"/>
    <w:rPr>
      <w:b/>
      <w:bCs/>
    </w:rPr>
  </w:style>
  <w:style w:type="character" w:customStyle="1" w:styleId="CommentSubjectChar">
    <w:name w:val="Comment Subject Char"/>
    <w:basedOn w:val="CommentTextChar"/>
    <w:link w:val="CommentSubject"/>
    <w:uiPriority w:val="99"/>
    <w:semiHidden/>
    <w:rsid w:val="00964591"/>
    <w:rPr>
      <w:b/>
      <w:bCs/>
      <w:sz w:val="20"/>
      <w:szCs w:val="20"/>
      <w:lang w:val="en-CA"/>
    </w:rPr>
  </w:style>
  <w:style w:type="character" w:customStyle="1" w:styleId="Heading2Char">
    <w:name w:val="Heading 2 Char"/>
    <w:basedOn w:val="DefaultParagraphFont"/>
    <w:link w:val="Heading2"/>
    <w:uiPriority w:val="9"/>
    <w:rsid w:val="00964591"/>
    <w:rPr>
      <w:rFonts w:asciiTheme="majorHAnsi" w:eastAsiaTheme="majorEastAsia" w:hAnsiTheme="majorHAnsi" w:cstheme="majorBidi"/>
      <w:color w:val="2E74B5" w:themeColor="accent1" w:themeShade="BF"/>
      <w:sz w:val="26"/>
      <w:szCs w:val="26"/>
      <w:lang w:val="en-CA"/>
    </w:rPr>
  </w:style>
  <w:style w:type="character" w:styleId="Hyperlink">
    <w:name w:val="Hyperlink"/>
    <w:basedOn w:val="DefaultParagraphFont"/>
    <w:uiPriority w:val="99"/>
    <w:unhideWhenUsed/>
    <w:rsid w:val="00A448FE"/>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4486018">
      <w:bodyDiv w:val="1"/>
      <w:marLeft w:val="0"/>
      <w:marRight w:val="0"/>
      <w:marTop w:val="0"/>
      <w:marBottom w:val="0"/>
      <w:divBdr>
        <w:top w:val="none" w:sz="0" w:space="0" w:color="auto"/>
        <w:left w:val="none" w:sz="0" w:space="0" w:color="auto"/>
        <w:bottom w:val="none" w:sz="0" w:space="0" w:color="auto"/>
        <w:right w:val="none" w:sz="0" w:space="0" w:color="auto"/>
      </w:divBdr>
    </w:div>
    <w:div w:id="1768191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8c00a9840905498a" Type="http://schemas.microsoft.com/office/2016/09/relationships/commentsIds" Target="commentsId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chart" Target="charts/chart1.xml"/><Relationship Id="Ra269dd9ea78841ff"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150.statcan.gc.ca/n1/en/daily-quotidien/200721/dq200721a-eng.pdf?st=b2h6SYqY"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kevin\AppData\Local\Temp\2010000801-eng-3.csv"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spPr>
            <a:ln w="28575" cap="rnd">
              <a:solidFill>
                <a:schemeClr val="accent1"/>
              </a:solidFill>
              <a:round/>
            </a:ln>
            <a:effectLst/>
          </c:spPr>
          <c:marker>
            <c:symbol val="none"/>
          </c:marker>
          <c:cat>
            <c:strRef>
              <c:f>'2010000801-eng-3'!$E$14:$E$26</c:f>
              <c:strCache>
                <c:ptCount val="13"/>
                <c:pt idx="0">
                  <c:v>June, 2019</c:v>
                </c:pt>
                <c:pt idx="1">
                  <c:v>July, 2019</c:v>
                </c:pt>
                <c:pt idx="2">
                  <c:v>August, 2019</c:v>
                </c:pt>
                <c:pt idx="3">
                  <c:v>September, 2019</c:v>
                </c:pt>
                <c:pt idx="4">
                  <c:v>October, 2019</c:v>
                </c:pt>
                <c:pt idx="5">
                  <c:v>November, 2019</c:v>
                </c:pt>
                <c:pt idx="6">
                  <c:v>December, 2019</c:v>
                </c:pt>
                <c:pt idx="7">
                  <c:v>January, 2020</c:v>
                </c:pt>
                <c:pt idx="8">
                  <c:v>February, 2020</c:v>
                </c:pt>
                <c:pt idx="9">
                  <c:v>March, 2020</c:v>
                </c:pt>
                <c:pt idx="10">
                  <c:v>April, 2020</c:v>
                </c:pt>
                <c:pt idx="11">
                  <c:v>May, 2020</c:v>
                </c:pt>
                <c:pt idx="12">
                  <c:v>June, 2020</c:v>
                </c:pt>
              </c:strCache>
            </c:strRef>
          </c:cat>
          <c:val>
            <c:numRef>
              <c:f>'2010000801-eng-3'!$F$14:$F$26</c:f>
              <c:numCache>
                <c:formatCode>_("$"* #,##0.00_);_("$"* \(#,##0.00\);_("$"* "-"??_);_(@_)</c:formatCode>
                <c:ptCount val="13"/>
                <c:pt idx="0">
                  <c:v>19283479</c:v>
                </c:pt>
                <c:pt idx="1">
                  <c:v>19573809</c:v>
                </c:pt>
                <c:pt idx="2">
                  <c:v>19424844</c:v>
                </c:pt>
                <c:pt idx="3">
                  <c:v>19598952</c:v>
                </c:pt>
                <c:pt idx="4">
                  <c:v>18851983</c:v>
                </c:pt>
                <c:pt idx="5">
                  <c:v>19556498</c:v>
                </c:pt>
                <c:pt idx="6">
                  <c:v>19725219</c:v>
                </c:pt>
                <c:pt idx="7">
                  <c:v>19580268</c:v>
                </c:pt>
                <c:pt idx="8">
                  <c:v>19822507</c:v>
                </c:pt>
                <c:pt idx="9">
                  <c:v>18075383</c:v>
                </c:pt>
                <c:pt idx="10">
                  <c:v>12503972</c:v>
                </c:pt>
                <c:pt idx="11">
                  <c:v>14675857</c:v>
                </c:pt>
                <c:pt idx="12">
                  <c:v>19631100</c:v>
                </c:pt>
              </c:numCache>
            </c:numRef>
          </c:val>
          <c:smooth val="0"/>
        </c:ser>
        <c:dLbls>
          <c:showLegendKey val="0"/>
          <c:showVal val="0"/>
          <c:showCatName val="0"/>
          <c:showSerName val="0"/>
          <c:showPercent val="0"/>
          <c:showBubbleSize val="0"/>
        </c:dLbls>
        <c:smooth val="0"/>
        <c:axId val="460232776"/>
        <c:axId val="460235520"/>
      </c:lineChart>
      <c:catAx>
        <c:axId val="460232776"/>
        <c:scaling>
          <c:orientation val="minMax"/>
        </c:scaling>
        <c:delete val="0"/>
        <c:axPos val="b"/>
        <c:numFmt formatCode="General" sourceLinked="1"/>
        <c:majorTickMark val="none"/>
        <c:minorTickMark val="none"/>
        <c:tickLblPos val="nextTo"/>
        <c:spPr>
          <a:noFill/>
          <a:ln w="9525" cap="flat" cmpd="sng" algn="ctr">
            <a:solidFill>
              <a:sysClr val="windowText" lastClr="000000"/>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Century Gothic" panose="020B0502020202020204" pitchFamily="34" charset="0"/>
                <a:ea typeface="+mn-ea"/>
                <a:cs typeface="+mn-cs"/>
              </a:defRPr>
            </a:pPr>
            <a:endParaRPr lang="en-US"/>
          </a:p>
        </c:txPr>
        <c:crossAx val="460235520"/>
        <c:crosses val="autoZero"/>
        <c:auto val="1"/>
        <c:lblAlgn val="ctr"/>
        <c:lblOffset val="100"/>
        <c:noMultiLvlLbl val="0"/>
      </c:catAx>
      <c:valAx>
        <c:axId val="460235520"/>
        <c:scaling>
          <c:orientation val="minMax"/>
          <c:min val="10000000"/>
        </c:scaling>
        <c:delete val="0"/>
        <c:axPos val="l"/>
        <c:majorGridlines>
          <c:spPr>
            <a:ln w="9525" cap="flat" cmpd="sng" algn="ctr">
              <a:solidFill>
                <a:schemeClr val="tx1">
                  <a:lumMod val="15000"/>
                  <a:lumOff val="85000"/>
                </a:schemeClr>
              </a:solidFill>
              <a:round/>
            </a:ln>
            <a:effectLst/>
          </c:spPr>
        </c:majorGridlines>
        <c:numFmt formatCode="_(&quot;$&quot;* #,##0.00_);_(&quot;$&quot;* \(#,##0.00\);_(&quot;$&quot;* &quot;-&quot;??_);_(@_)" sourceLinked="1"/>
        <c:majorTickMark val="none"/>
        <c:minorTickMark val="none"/>
        <c:tickLblPos val="nextTo"/>
        <c:spPr>
          <a:noFill/>
          <a:ln>
            <a:solidFill>
              <a:sysClr val="windowText" lastClr="000000"/>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Century Gothic" panose="020B0502020202020204" pitchFamily="34" charset="0"/>
                <a:ea typeface="+mn-ea"/>
                <a:cs typeface="+mn-cs"/>
              </a:defRPr>
            </a:pPr>
            <a:endParaRPr lang="en-US"/>
          </a:p>
        </c:txPr>
        <c:crossAx val="460232776"/>
        <c:crosses val="autoZero"/>
        <c:crossBetween val="between"/>
        <c:majorUnit val="4000000"/>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latin typeface="Century Gothic" panose="020B0502020202020204" pitchFamily="34" charset="0"/>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BCBD638C5D08488C3A69F20F38F032" ma:contentTypeVersion="4" ma:contentTypeDescription="Create a new document." ma:contentTypeScope="" ma:versionID="79962fb92896ca6a470a47a77a2477ef">
  <xsd:schema xmlns:xsd="http://www.w3.org/2001/XMLSchema" xmlns:xs="http://www.w3.org/2001/XMLSchema" xmlns:p="http://schemas.microsoft.com/office/2006/metadata/properties" xmlns:ns2="6ef78ea4-0b3a-4546-a13f-07d5c654a319" targetNamespace="http://schemas.microsoft.com/office/2006/metadata/properties" ma:root="true" ma:fieldsID="51117ddec1749c14edea7e674427b554" ns2:_="">
    <xsd:import namespace="6ef78ea4-0b3a-4546-a13f-07d5c654a31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f78ea4-0b3a-4546-a13f-07d5c654a3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90BA80-CBBD-404B-A20A-BDC26F004A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f78ea4-0b3a-4546-a13f-07d5c654a3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BDBE54C-C91E-429D-90F3-1BCDC71EF41A}">
  <ds:schemaRefs>
    <ds:schemaRef ds:uri="http://schemas.microsoft.com/sharepoint/v3/contenttype/forms"/>
  </ds:schemaRefs>
</ds:datastoreItem>
</file>

<file path=customXml/itemProps3.xml><?xml version="1.0" encoding="utf-8"?>
<ds:datastoreItem xmlns:ds="http://schemas.openxmlformats.org/officeDocument/2006/customXml" ds:itemID="{57CA7EE6-EF5C-45DD-BA86-BA2E39954242}">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http://purl.org/dc/elements/1.1/"/>
    <ds:schemaRef ds:uri="6ef78ea4-0b3a-4546-a13f-07d5c654a319"/>
    <ds:schemaRef ds:uri="http://www.w3.org/XML/1998/namespace"/>
  </ds:schemaRefs>
</ds:datastoreItem>
</file>

<file path=customXml/itemProps4.xml><?xml version="1.0" encoding="utf-8"?>
<ds:datastoreItem xmlns:ds="http://schemas.openxmlformats.org/officeDocument/2006/customXml" ds:itemID="{8238D53E-B6E1-4539-8A38-A0F31DDCA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716</Words>
  <Characters>4087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McPhillips</dc:creator>
  <cp:keywords/>
  <dc:description/>
  <cp:lastModifiedBy>Thalia Semplonius</cp:lastModifiedBy>
  <cp:revision>8</cp:revision>
  <dcterms:created xsi:type="dcterms:W3CDTF">2020-10-05T19:15:00Z</dcterms:created>
  <dcterms:modified xsi:type="dcterms:W3CDTF">2020-10-05T19:23:00Z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0x01010022BCBD638C5D08488C3A69F20F38F032</vt:lpwstr>
  </property>
</Properties>
</file>