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A8D33" w14:textId="2722E6CA" w:rsidR="00603A0D" w:rsidRPr="00EB3E68" w:rsidRDefault="00603A0D" w:rsidP="00603A0D">
      <w:pPr>
        <w:pStyle w:val="NormalWeb"/>
        <w:shd w:val="clear" w:color="auto" w:fill="FFFFFF"/>
        <w:spacing w:before="0" w:beforeAutospacing="0" w:after="0" w:afterAutospacing="0"/>
        <w:jc w:val="center"/>
        <w:rPr>
          <w:rFonts w:ascii="Century Gothic" w:hAnsi="Century Gothic" w:cs="Segoe UI"/>
          <w:color w:val="2E74B5" w:themeColor="accent1" w:themeShade="BF"/>
          <w:sz w:val="26"/>
          <w:szCs w:val="26"/>
        </w:rPr>
      </w:pPr>
      <w:r w:rsidRPr="00EB3E68">
        <w:rPr>
          <w:rFonts w:ascii="Century Gothic" w:hAnsi="Century Gothic" w:cs="Segoe UI"/>
          <w:color w:val="2E74B5" w:themeColor="accent1" w:themeShade="BF"/>
          <w:sz w:val="26"/>
          <w:szCs w:val="26"/>
        </w:rPr>
        <w:t xml:space="preserve">Gender Equity Labour Force Series: </w:t>
      </w:r>
    </w:p>
    <w:p w14:paraId="64E79379" w14:textId="77777777" w:rsidR="00603A0D" w:rsidRPr="00EB3E68" w:rsidRDefault="00603A0D" w:rsidP="00603A0D">
      <w:pPr>
        <w:pStyle w:val="NormalWeb"/>
        <w:shd w:val="clear" w:color="auto" w:fill="FFFFFF"/>
        <w:spacing w:before="0" w:beforeAutospacing="0" w:after="0" w:afterAutospacing="0"/>
        <w:jc w:val="center"/>
        <w:rPr>
          <w:rFonts w:ascii="Century Gothic" w:hAnsi="Century Gothic" w:cs="Segoe UI"/>
          <w:color w:val="2E74B5" w:themeColor="accent1" w:themeShade="BF"/>
          <w:sz w:val="26"/>
          <w:szCs w:val="26"/>
        </w:rPr>
      </w:pPr>
      <w:r w:rsidRPr="00EB3E68">
        <w:rPr>
          <w:rFonts w:ascii="Century Gothic" w:hAnsi="Century Gothic" w:cs="Segoe UI"/>
          <w:color w:val="2E74B5" w:themeColor="accent1" w:themeShade="BF"/>
          <w:sz w:val="26"/>
          <w:szCs w:val="26"/>
        </w:rPr>
        <w:t xml:space="preserve">Niagara’s Workforce Skills and </w:t>
      </w:r>
      <w:r w:rsidR="00EB3E68">
        <w:rPr>
          <w:rFonts w:ascii="Century Gothic" w:hAnsi="Century Gothic" w:cs="Segoe UI"/>
          <w:color w:val="2E74B5" w:themeColor="accent1" w:themeShade="BF"/>
          <w:sz w:val="26"/>
          <w:szCs w:val="26"/>
        </w:rPr>
        <w:t>Occupation</w:t>
      </w:r>
      <w:r w:rsidRPr="00EB3E68">
        <w:rPr>
          <w:rFonts w:ascii="Century Gothic" w:hAnsi="Century Gothic" w:cs="Segoe UI"/>
          <w:color w:val="2E74B5" w:themeColor="accent1" w:themeShade="BF"/>
          <w:sz w:val="26"/>
          <w:szCs w:val="26"/>
        </w:rPr>
        <w:t xml:space="preserve"> Alignment</w:t>
      </w:r>
    </w:p>
    <w:p w14:paraId="231180C5" w14:textId="77777777" w:rsidR="00033A34" w:rsidRDefault="00033A34"/>
    <w:p w14:paraId="7185CA0C" w14:textId="30C8C773" w:rsidR="00603A0D" w:rsidRDefault="00603A0D" w:rsidP="00603A0D">
      <w:pPr>
        <w:pStyle w:val="NormalWeb"/>
        <w:shd w:val="clear" w:color="auto" w:fill="FFFFFF"/>
        <w:spacing w:before="0" w:beforeAutospacing="0" w:after="0" w:afterAutospacing="0"/>
        <w:rPr>
          <w:rFonts w:ascii="Century Gothic" w:hAnsi="Century Gothic" w:cs="Segoe UI"/>
          <w:sz w:val="22"/>
          <w:szCs w:val="22"/>
        </w:rPr>
      </w:pPr>
      <w:bookmarkStart w:id="0" w:name="_Toc52532756"/>
      <w:r w:rsidRPr="00EC6CFD">
        <w:rPr>
          <w:rFonts w:ascii="Century Gothic" w:hAnsi="Century Gothic" w:cs="Segoe UI"/>
          <w:sz w:val="22"/>
          <w:szCs w:val="22"/>
        </w:rPr>
        <w:t xml:space="preserve">One of NWPB’s </w:t>
      </w:r>
      <w:r w:rsidR="004A60D6">
        <w:rPr>
          <w:rFonts w:ascii="Century Gothic" w:hAnsi="Century Gothic" w:cs="Segoe UI"/>
          <w:sz w:val="22"/>
          <w:szCs w:val="22"/>
        </w:rPr>
        <w:t xml:space="preserve">current </w:t>
      </w:r>
      <w:r w:rsidRPr="00EC6CFD">
        <w:rPr>
          <w:rFonts w:ascii="Century Gothic" w:hAnsi="Century Gothic" w:cs="Segoe UI"/>
          <w:sz w:val="22"/>
          <w:szCs w:val="22"/>
        </w:rPr>
        <w:t>project</w:t>
      </w:r>
      <w:r>
        <w:rPr>
          <w:rFonts w:ascii="Century Gothic" w:hAnsi="Century Gothic" w:cs="Segoe UI"/>
          <w:sz w:val="22"/>
          <w:szCs w:val="22"/>
        </w:rPr>
        <w:t>s</w:t>
      </w:r>
      <w:r w:rsidRPr="00EC6CFD">
        <w:rPr>
          <w:rFonts w:ascii="Century Gothic" w:hAnsi="Century Gothic" w:cs="Segoe UI"/>
          <w:sz w:val="22"/>
          <w:szCs w:val="22"/>
        </w:rPr>
        <w:t xml:space="preserve"> </w:t>
      </w:r>
      <w:r>
        <w:rPr>
          <w:rFonts w:ascii="Century Gothic" w:hAnsi="Century Gothic" w:cs="Segoe UI"/>
          <w:sz w:val="22"/>
          <w:szCs w:val="22"/>
        </w:rPr>
        <w:t xml:space="preserve">is to produce </w:t>
      </w:r>
      <w:r w:rsidRPr="00EC6CFD">
        <w:rPr>
          <w:rFonts w:ascii="Century Gothic" w:hAnsi="Century Gothic" w:cs="Segoe UI"/>
          <w:sz w:val="22"/>
          <w:szCs w:val="22"/>
        </w:rPr>
        <w:t>a gender-focused Labour Market Report</w:t>
      </w:r>
      <w:r>
        <w:rPr>
          <w:rFonts w:ascii="Century Gothic" w:hAnsi="Century Gothic" w:cs="Segoe UI"/>
          <w:sz w:val="22"/>
          <w:szCs w:val="22"/>
        </w:rPr>
        <w:t>. Given</w:t>
      </w:r>
      <w:r w:rsidR="004A60D6">
        <w:rPr>
          <w:rFonts w:ascii="Century Gothic" w:hAnsi="Century Gothic" w:cs="Segoe UI"/>
          <w:sz w:val="22"/>
          <w:szCs w:val="22"/>
        </w:rPr>
        <w:t xml:space="preserve"> national and provincial employment trends,</w:t>
      </w:r>
      <w:r>
        <w:rPr>
          <w:rFonts w:ascii="Century Gothic" w:hAnsi="Century Gothic" w:cs="Segoe UI"/>
          <w:sz w:val="22"/>
          <w:szCs w:val="22"/>
        </w:rPr>
        <w:t xml:space="preserve"> </w:t>
      </w:r>
      <w:r w:rsidR="004A60D6">
        <w:rPr>
          <w:rFonts w:ascii="Century Gothic" w:hAnsi="Century Gothic" w:cs="Segoe UI"/>
          <w:sz w:val="22"/>
          <w:szCs w:val="22"/>
        </w:rPr>
        <w:t xml:space="preserve">this report will offer </w:t>
      </w:r>
      <w:r>
        <w:rPr>
          <w:rFonts w:ascii="Century Gothic" w:hAnsi="Century Gothic" w:cs="Segoe UI"/>
          <w:sz w:val="22"/>
          <w:szCs w:val="22"/>
        </w:rPr>
        <w:t xml:space="preserve">a deeper understanding of </w:t>
      </w:r>
      <w:r w:rsidR="00142371">
        <w:rPr>
          <w:rFonts w:ascii="Century Gothic" w:hAnsi="Century Gothic" w:cs="Segoe UI"/>
          <w:sz w:val="22"/>
          <w:szCs w:val="22"/>
        </w:rPr>
        <w:t>the gendered impacts of COVID-19</w:t>
      </w:r>
      <w:r w:rsidR="000C71C9">
        <w:rPr>
          <w:rFonts w:ascii="Century Gothic" w:hAnsi="Century Gothic" w:cs="Segoe UI"/>
          <w:sz w:val="22"/>
          <w:szCs w:val="22"/>
        </w:rPr>
        <w:t xml:space="preserve"> </w:t>
      </w:r>
      <w:r w:rsidR="005A63AF">
        <w:rPr>
          <w:rFonts w:ascii="Century Gothic" w:hAnsi="Century Gothic" w:cs="Segoe UI"/>
          <w:sz w:val="22"/>
          <w:szCs w:val="22"/>
        </w:rPr>
        <w:t xml:space="preserve">on employment </w:t>
      </w:r>
      <w:r w:rsidR="004A60D6">
        <w:rPr>
          <w:rFonts w:ascii="Century Gothic" w:hAnsi="Century Gothic" w:cs="Segoe UI"/>
          <w:sz w:val="22"/>
          <w:szCs w:val="22"/>
        </w:rPr>
        <w:t>in Niagara</w:t>
      </w:r>
      <w:r w:rsidR="00142371">
        <w:rPr>
          <w:rFonts w:ascii="Century Gothic" w:hAnsi="Century Gothic" w:cs="Segoe UI"/>
          <w:sz w:val="22"/>
          <w:szCs w:val="22"/>
        </w:rPr>
        <w:t xml:space="preserve">. </w:t>
      </w:r>
      <w:r w:rsidR="004A60D6">
        <w:rPr>
          <w:rFonts w:ascii="Century Gothic" w:hAnsi="Century Gothic" w:cs="Segoe UI"/>
          <w:sz w:val="22"/>
          <w:szCs w:val="22"/>
        </w:rPr>
        <w:t xml:space="preserve">This project also offers </w:t>
      </w:r>
      <w:r>
        <w:rPr>
          <w:rFonts w:ascii="Century Gothic" w:hAnsi="Century Gothic" w:cs="Segoe UI"/>
          <w:sz w:val="22"/>
          <w:szCs w:val="22"/>
        </w:rPr>
        <w:t>context for those working towards gender</w:t>
      </w:r>
      <w:r w:rsidR="004A60D6">
        <w:rPr>
          <w:rFonts w:ascii="Century Gothic" w:hAnsi="Century Gothic" w:cs="Segoe UI"/>
          <w:sz w:val="22"/>
          <w:szCs w:val="22"/>
        </w:rPr>
        <w:t xml:space="preserve"> and employment</w:t>
      </w:r>
      <w:r>
        <w:rPr>
          <w:rFonts w:ascii="Century Gothic" w:hAnsi="Century Gothic" w:cs="Segoe UI"/>
          <w:sz w:val="22"/>
          <w:szCs w:val="22"/>
        </w:rPr>
        <w:t xml:space="preserve"> equity</w:t>
      </w:r>
      <w:r w:rsidR="004A60D6">
        <w:rPr>
          <w:rFonts w:ascii="Century Gothic" w:hAnsi="Century Gothic" w:cs="Segoe UI"/>
          <w:sz w:val="22"/>
          <w:szCs w:val="22"/>
        </w:rPr>
        <w:t>,</w:t>
      </w:r>
      <w:r w:rsidR="00142371">
        <w:rPr>
          <w:rFonts w:ascii="Century Gothic" w:hAnsi="Century Gothic" w:cs="Segoe UI"/>
          <w:sz w:val="22"/>
          <w:szCs w:val="22"/>
        </w:rPr>
        <w:t xml:space="preserve"> </w:t>
      </w:r>
      <w:r>
        <w:rPr>
          <w:rFonts w:ascii="Century Gothic" w:hAnsi="Century Gothic" w:cs="Segoe UI"/>
          <w:sz w:val="22"/>
          <w:szCs w:val="22"/>
        </w:rPr>
        <w:t>and</w:t>
      </w:r>
      <w:r w:rsidR="004A60D6">
        <w:rPr>
          <w:rFonts w:ascii="Century Gothic" w:hAnsi="Century Gothic" w:cs="Segoe UI"/>
          <w:sz w:val="22"/>
          <w:szCs w:val="22"/>
        </w:rPr>
        <w:t xml:space="preserve"> </w:t>
      </w:r>
      <w:r w:rsidR="00EA7CEB">
        <w:rPr>
          <w:rFonts w:ascii="Century Gothic" w:hAnsi="Century Gothic" w:cs="Segoe UI"/>
          <w:sz w:val="22"/>
          <w:szCs w:val="22"/>
        </w:rPr>
        <w:t>also</w:t>
      </w:r>
      <w:r w:rsidR="004A60D6">
        <w:rPr>
          <w:rFonts w:ascii="Century Gothic" w:hAnsi="Century Gothic" w:cs="Segoe UI"/>
          <w:sz w:val="22"/>
          <w:szCs w:val="22"/>
        </w:rPr>
        <w:t xml:space="preserve"> </w:t>
      </w:r>
      <w:r>
        <w:rPr>
          <w:rFonts w:ascii="Century Gothic" w:hAnsi="Century Gothic" w:cs="Segoe UI"/>
          <w:sz w:val="22"/>
          <w:szCs w:val="22"/>
        </w:rPr>
        <w:t xml:space="preserve">aligns with </w:t>
      </w:r>
      <w:r w:rsidR="004A60D6">
        <w:rPr>
          <w:rFonts w:ascii="Century Gothic" w:hAnsi="Century Gothic" w:cs="Segoe UI"/>
          <w:sz w:val="22"/>
          <w:szCs w:val="22"/>
        </w:rPr>
        <w:t xml:space="preserve">the </w:t>
      </w:r>
      <w:r>
        <w:rPr>
          <w:rFonts w:ascii="Century Gothic" w:hAnsi="Century Gothic" w:cs="Segoe UI"/>
          <w:sz w:val="22"/>
          <w:szCs w:val="22"/>
        </w:rPr>
        <w:t>current priorities of Niagara’s Regional government.</w:t>
      </w:r>
    </w:p>
    <w:p w14:paraId="34A52F50" w14:textId="77777777" w:rsidR="00603A0D" w:rsidRDefault="00603A0D" w:rsidP="00603A0D">
      <w:pPr>
        <w:pStyle w:val="NormalWeb"/>
        <w:shd w:val="clear" w:color="auto" w:fill="FFFFFF"/>
        <w:spacing w:before="0" w:beforeAutospacing="0" w:after="0" w:afterAutospacing="0"/>
        <w:rPr>
          <w:rFonts w:ascii="Century Gothic" w:hAnsi="Century Gothic" w:cs="Segoe UI"/>
          <w:sz w:val="22"/>
          <w:szCs w:val="22"/>
        </w:rPr>
      </w:pPr>
    </w:p>
    <w:p w14:paraId="4014DAC4" w14:textId="3E6054B2" w:rsidR="001027B3" w:rsidRDefault="008A35A4" w:rsidP="00040CE3">
      <w:r>
        <w:rPr>
          <w:rFonts w:cs="Segoe UI"/>
          <w:szCs w:val="22"/>
        </w:rPr>
        <w:t xml:space="preserve">To supplement our </w:t>
      </w:r>
      <w:r w:rsidR="00EE23CE">
        <w:rPr>
          <w:rFonts w:cs="Segoe UI"/>
          <w:szCs w:val="22"/>
        </w:rPr>
        <w:t xml:space="preserve">complete </w:t>
      </w:r>
      <w:r>
        <w:rPr>
          <w:rFonts w:cs="Segoe UI"/>
          <w:szCs w:val="22"/>
        </w:rPr>
        <w:t xml:space="preserve">report, </w:t>
      </w:r>
      <w:r w:rsidR="004A60D6">
        <w:rPr>
          <w:rFonts w:cs="Segoe UI"/>
          <w:szCs w:val="22"/>
        </w:rPr>
        <w:t>NWPB</w:t>
      </w:r>
      <w:r w:rsidR="00EE23CE">
        <w:rPr>
          <w:rFonts w:cs="Segoe UI"/>
          <w:szCs w:val="22"/>
        </w:rPr>
        <w:t xml:space="preserve"> </w:t>
      </w:r>
      <w:r w:rsidR="004A60D6">
        <w:rPr>
          <w:rFonts w:cs="Segoe UI"/>
          <w:szCs w:val="22"/>
        </w:rPr>
        <w:t>is</w:t>
      </w:r>
      <w:r w:rsidR="00603A0D">
        <w:rPr>
          <w:rFonts w:cs="Segoe UI"/>
          <w:szCs w:val="22"/>
        </w:rPr>
        <w:t xml:space="preserve"> publishing a series of </w:t>
      </w:r>
      <w:r w:rsidR="004A60D6">
        <w:rPr>
          <w:rFonts w:cs="Segoe UI"/>
          <w:szCs w:val="22"/>
        </w:rPr>
        <w:t>blog</w:t>
      </w:r>
      <w:r w:rsidR="00EE23CE">
        <w:rPr>
          <w:rFonts w:cs="Segoe UI"/>
          <w:szCs w:val="22"/>
        </w:rPr>
        <w:t>s</w:t>
      </w:r>
      <w:r w:rsidR="004A60D6">
        <w:rPr>
          <w:rFonts w:cs="Segoe UI"/>
          <w:szCs w:val="22"/>
        </w:rPr>
        <w:t xml:space="preserve"> </w:t>
      </w:r>
      <w:r w:rsidR="00603A0D">
        <w:rPr>
          <w:rFonts w:cs="Segoe UI"/>
          <w:szCs w:val="22"/>
        </w:rPr>
        <w:t>outlining gender-focused labour ma</w:t>
      </w:r>
      <w:bookmarkStart w:id="1" w:name="_GoBack"/>
      <w:bookmarkEnd w:id="1"/>
      <w:r w:rsidR="00603A0D">
        <w:rPr>
          <w:rFonts w:cs="Segoe UI"/>
          <w:szCs w:val="22"/>
        </w:rPr>
        <w:t xml:space="preserve">rket information. </w:t>
      </w:r>
      <w:r w:rsidR="00040CE3">
        <w:t xml:space="preserve">The </w:t>
      </w:r>
      <w:hyperlink r:id="rId8" w:history="1">
        <w:r w:rsidR="00040CE3" w:rsidRPr="00100A85">
          <w:rPr>
            <w:rStyle w:val="Hyperlink"/>
          </w:rPr>
          <w:t>previous post in this series</w:t>
        </w:r>
      </w:hyperlink>
      <w:r w:rsidR="00040CE3">
        <w:t xml:space="preserve"> </w:t>
      </w:r>
      <w:r w:rsidR="0003533D">
        <w:t xml:space="preserve">outlined local </w:t>
      </w:r>
      <w:r w:rsidR="00DC6D00">
        <w:t xml:space="preserve"> </w:t>
      </w:r>
      <w:r w:rsidR="0003533D">
        <w:t xml:space="preserve">population </w:t>
      </w:r>
      <w:r w:rsidR="00DC6D00">
        <w:t>data,</w:t>
      </w:r>
      <w:r w:rsidR="00040CE3">
        <w:t xml:space="preserve"> </w:t>
      </w:r>
      <w:r w:rsidR="00DC6D00">
        <w:t xml:space="preserve">key labour market indicators, </w:t>
      </w:r>
      <w:r w:rsidR="00040CE3">
        <w:t>and employment</w:t>
      </w:r>
      <w:r w:rsidR="00DC6D00">
        <w:t xml:space="preserve"> </w:t>
      </w:r>
      <w:r w:rsidR="00E6657A">
        <w:t>insights</w:t>
      </w:r>
      <w:r w:rsidR="00040CE3">
        <w:t xml:space="preserve">. This post focuses on the level of education and major field of study for the local labour force. </w:t>
      </w:r>
    </w:p>
    <w:p w14:paraId="7B196EB6" w14:textId="77777777" w:rsidR="00603A0D" w:rsidRPr="00EB3E68" w:rsidRDefault="00CE5BBC" w:rsidP="00603A0D">
      <w:pPr>
        <w:pStyle w:val="Heading1"/>
        <w:rPr>
          <w:rFonts w:ascii="Century Gothic" w:hAnsi="Century Gothic"/>
          <w:sz w:val="26"/>
          <w:szCs w:val="26"/>
        </w:rPr>
      </w:pPr>
      <w:r w:rsidRPr="00EB3E68">
        <w:rPr>
          <w:rFonts w:ascii="Century Gothic" w:hAnsi="Century Gothic"/>
          <w:sz w:val="26"/>
          <w:szCs w:val="26"/>
        </w:rPr>
        <w:t xml:space="preserve">Workforce Education and </w:t>
      </w:r>
      <w:r w:rsidR="002C525C">
        <w:rPr>
          <w:rFonts w:ascii="Century Gothic" w:hAnsi="Century Gothic"/>
          <w:sz w:val="26"/>
          <w:szCs w:val="26"/>
        </w:rPr>
        <w:t xml:space="preserve">Fields of </w:t>
      </w:r>
      <w:r w:rsidRPr="00EB3E68">
        <w:rPr>
          <w:rFonts w:ascii="Century Gothic" w:hAnsi="Century Gothic"/>
          <w:sz w:val="26"/>
          <w:szCs w:val="26"/>
        </w:rPr>
        <w:t>Expertise</w:t>
      </w:r>
      <w:bookmarkEnd w:id="0"/>
      <w:r w:rsidR="00603A0D" w:rsidRPr="00EB3E68">
        <w:rPr>
          <w:rFonts w:ascii="Century Gothic" w:hAnsi="Century Gothic"/>
          <w:sz w:val="26"/>
          <w:szCs w:val="26"/>
        </w:rPr>
        <w:t xml:space="preserve"> </w:t>
      </w:r>
    </w:p>
    <w:p w14:paraId="19B93055" w14:textId="77777777" w:rsidR="002A32DA" w:rsidRDefault="002A32DA" w:rsidP="006F1BD6">
      <w:r>
        <w:t>Data from the 2016 census show that Niagara’s employe</w:t>
      </w:r>
      <w:r w:rsidR="002A22EB">
        <w:t>d labour force is highly educated</w:t>
      </w:r>
      <w:r>
        <w:t xml:space="preserve">. </w:t>
      </w:r>
      <w:r w:rsidR="007D5861">
        <w:t>Figure 1 outlines the highest level of education for employed individuals in Niagara</w:t>
      </w:r>
      <w:r w:rsidR="000A71D0">
        <w:t>, and the distribution of men and women within these education categories.</w:t>
      </w:r>
    </w:p>
    <w:p w14:paraId="707FFC3A" w14:textId="77777777" w:rsidR="006F1BD6" w:rsidRPr="002A32DA" w:rsidRDefault="006F1BD6" w:rsidP="006F1BD6">
      <w:pPr>
        <w:rPr>
          <w:sz w:val="26"/>
          <w:szCs w:val="26"/>
        </w:rPr>
      </w:pPr>
      <w:r w:rsidRPr="00EB3E68">
        <w:rPr>
          <w:color w:val="2E74B5" w:themeColor="accent1" w:themeShade="BF"/>
        </w:rPr>
        <w:t xml:space="preserve">Figure </w:t>
      </w:r>
      <w:r w:rsidR="00667553" w:rsidRPr="00EB3E68">
        <w:rPr>
          <w:color w:val="2E74B5" w:themeColor="accent1" w:themeShade="BF"/>
        </w:rPr>
        <w:t>1</w:t>
      </w:r>
      <w:r w:rsidRPr="00EB3E68">
        <w:rPr>
          <w:color w:val="2E74B5" w:themeColor="accent1" w:themeShade="BF"/>
        </w:rPr>
        <w:t xml:space="preserve">: </w:t>
      </w:r>
      <w:r w:rsidR="00615FEA">
        <w:rPr>
          <w:color w:val="2E74B5" w:themeColor="accent1" w:themeShade="BF"/>
        </w:rPr>
        <w:t>Highest l</w:t>
      </w:r>
      <w:r w:rsidRPr="00EB3E68">
        <w:rPr>
          <w:color w:val="2E74B5" w:themeColor="accent1" w:themeShade="BF"/>
        </w:rPr>
        <w:t>evel of education, Employed individuals living in Niagara, 2016</w:t>
      </w:r>
      <w:r>
        <w:rPr>
          <w:noProof/>
          <w:lang w:val="en-US"/>
        </w:rPr>
        <w:drawing>
          <wp:inline distT="0" distB="0" distL="0" distR="0" wp14:anchorId="7DA2DA07" wp14:editId="6B934A6F">
            <wp:extent cx="5943600" cy="2661920"/>
            <wp:effectExtent l="0" t="0" r="0" b="50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432B5">
        <w:rPr>
          <w:sz w:val="16"/>
          <w:szCs w:val="16"/>
        </w:rPr>
        <w:t xml:space="preserve">Statistics Canada, 2016 Census, Niagara Census Division, Custom Tabulation.  </w:t>
      </w:r>
    </w:p>
    <w:p w14:paraId="78FC249E" w14:textId="77777777" w:rsidR="00EB3E68" w:rsidRDefault="00EB3E68" w:rsidP="00CE5BBC"/>
    <w:p w14:paraId="7C15C2CC" w14:textId="77777777" w:rsidR="00046676" w:rsidRPr="003733C0" w:rsidRDefault="006644D6" w:rsidP="00CE5BBC">
      <w:r>
        <w:t>Census data also outline individuals’ field of study. T</w:t>
      </w:r>
      <w:r w:rsidR="00046676" w:rsidRPr="003733C0">
        <w:t xml:space="preserve">he top 3 areas of study </w:t>
      </w:r>
      <w:r>
        <w:t xml:space="preserve">for individuals </w:t>
      </w:r>
      <w:r w:rsidR="00AC0801">
        <w:t>aged 15 years and older in Niagara are</w:t>
      </w:r>
      <w:r w:rsidR="00046676" w:rsidRPr="003733C0">
        <w:t>:</w:t>
      </w:r>
    </w:p>
    <w:p w14:paraId="69DF009F" w14:textId="7D71AB36" w:rsidR="00046676" w:rsidRPr="003733C0" w:rsidRDefault="00023F4F" w:rsidP="00046676">
      <w:pPr>
        <w:pStyle w:val="ListParagraph"/>
        <w:numPr>
          <w:ilvl w:val="0"/>
          <w:numId w:val="3"/>
        </w:numPr>
      </w:pPr>
      <w:r w:rsidRPr="003733C0">
        <w:t>Architecture</w:t>
      </w:r>
      <w:r w:rsidR="00046676" w:rsidRPr="003733C0">
        <w:t>, engineering, and related technologies</w:t>
      </w:r>
      <w:r w:rsidR="00F02A3B">
        <w:t xml:space="preserve"> (40,110 people)</w:t>
      </w:r>
    </w:p>
    <w:p w14:paraId="2B27BEFC" w14:textId="640C383C" w:rsidR="00046676" w:rsidRPr="003733C0" w:rsidRDefault="00046676" w:rsidP="00046676">
      <w:pPr>
        <w:pStyle w:val="ListParagraph"/>
        <w:numPr>
          <w:ilvl w:val="0"/>
          <w:numId w:val="3"/>
        </w:numPr>
      </w:pPr>
      <w:r w:rsidRPr="003733C0">
        <w:t>Business, management and public administration</w:t>
      </w:r>
      <w:r w:rsidR="00F02A3B">
        <w:t xml:space="preserve"> (35,290 people)</w:t>
      </w:r>
    </w:p>
    <w:p w14:paraId="2ED6A09D" w14:textId="4F66673E" w:rsidR="00046676" w:rsidRDefault="00046676" w:rsidP="00046676">
      <w:pPr>
        <w:pStyle w:val="ListParagraph"/>
        <w:numPr>
          <w:ilvl w:val="0"/>
          <w:numId w:val="3"/>
        </w:numPr>
      </w:pPr>
      <w:r w:rsidRPr="003733C0">
        <w:t>Health and related fields</w:t>
      </w:r>
      <w:r w:rsidR="00F02A3B">
        <w:t xml:space="preserve"> (31,735 people)</w:t>
      </w:r>
    </w:p>
    <w:p w14:paraId="7ADC836B" w14:textId="32942C57" w:rsidR="00205971" w:rsidRPr="003733C0" w:rsidRDefault="000F438B" w:rsidP="00205971">
      <w:r>
        <w:lastRenderedPageBreak/>
        <w:t>Figure 2 outlines the percentage of men and women</w:t>
      </w:r>
      <w:r w:rsidR="00EE23CE">
        <w:t xml:space="preserve"> with postsecondary education</w:t>
      </w:r>
      <w:r>
        <w:t xml:space="preserve"> </w:t>
      </w:r>
      <w:r w:rsidR="00F02A3B">
        <w:t xml:space="preserve">credentials in these three top fields of study. </w:t>
      </w:r>
    </w:p>
    <w:p w14:paraId="44952D08" w14:textId="349B73CA" w:rsidR="00B00ABE" w:rsidRPr="006C68C3" w:rsidRDefault="00667553" w:rsidP="005F7C68">
      <w:pPr>
        <w:rPr>
          <w:sz w:val="16"/>
          <w:szCs w:val="16"/>
        </w:rPr>
      </w:pPr>
      <w:r w:rsidRPr="00EB3E68">
        <w:rPr>
          <w:color w:val="2E74B5" w:themeColor="accent1" w:themeShade="BF"/>
        </w:rPr>
        <w:t xml:space="preserve">Figure </w:t>
      </w:r>
      <w:r w:rsidR="00773D0C" w:rsidRPr="00EB3E68">
        <w:rPr>
          <w:color w:val="2E74B5" w:themeColor="accent1" w:themeShade="BF"/>
        </w:rPr>
        <w:t>2. Major field of study, Men and women 15 years and older, Niagara, 2016</w:t>
      </w:r>
      <w:r w:rsidR="00773D0C">
        <w:rPr>
          <w:noProof/>
          <w:lang w:val="en-US"/>
        </w:rPr>
        <w:drawing>
          <wp:inline distT="0" distB="0" distL="0" distR="0" wp14:anchorId="0C9B62F6" wp14:editId="40303ABA">
            <wp:extent cx="5753100" cy="15621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73D0C" w:rsidRPr="0027662D">
        <w:rPr>
          <w:sz w:val="16"/>
          <w:szCs w:val="16"/>
        </w:rPr>
        <w:t>Source: 2016 census, Niagara region</w:t>
      </w:r>
      <w:r w:rsidR="00773D0C">
        <w:rPr>
          <w:sz w:val="16"/>
          <w:szCs w:val="16"/>
        </w:rPr>
        <w:t>, custom data tabulation</w:t>
      </w:r>
    </w:p>
    <w:p w14:paraId="29ED66F2" w14:textId="5D6318BD" w:rsidR="00205971" w:rsidRPr="00EB3E68" w:rsidRDefault="002863B4" w:rsidP="00205971">
      <w:pPr>
        <w:pStyle w:val="Heading1"/>
        <w:rPr>
          <w:rFonts w:ascii="Century Gothic" w:hAnsi="Century Gothic"/>
          <w:sz w:val="26"/>
          <w:szCs w:val="26"/>
        </w:rPr>
      </w:pPr>
      <w:r>
        <w:rPr>
          <w:rFonts w:ascii="Century Gothic" w:hAnsi="Century Gothic"/>
          <w:sz w:val="26"/>
          <w:szCs w:val="26"/>
        </w:rPr>
        <w:t xml:space="preserve">Occupation of Employment </w:t>
      </w:r>
    </w:p>
    <w:p w14:paraId="13931FFE" w14:textId="54BE27AC" w:rsidR="005F7C68" w:rsidRDefault="00951102" w:rsidP="005F7C68">
      <w:r>
        <w:t xml:space="preserve">Figure 3 outlines the top areas of employment in Niagara throughout 2019. As current gender data on occupation of employment are not available for Niagara, </w:t>
      </w:r>
      <w:r w:rsidR="002863B4">
        <w:t>Figure 3 shows that</w:t>
      </w:r>
      <w:r>
        <w:t>,</w:t>
      </w:r>
      <w:r w:rsidR="002863B4">
        <w:t xml:space="preserve"> in Ontario</w:t>
      </w:r>
      <w:r>
        <w:t>,</w:t>
      </w:r>
      <w:r w:rsidR="002863B4">
        <w:t xml:space="preserve"> </w:t>
      </w:r>
      <w:r w:rsidR="005F7C68">
        <w:t>more men than women report</w:t>
      </w:r>
      <w:r w:rsidR="005F7C68" w:rsidRPr="00A506CA">
        <w:t xml:space="preserve"> employment</w:t>
      </w:r>
      <w:r w:rsidR="005F7C68">
        <w:t xml:space="preserve"> </w:t>
      </w:r>
      <w:r w:rsidR="005F7C68" w:rsidRPr="00A506CA">
        <w:t>in</w:t>
      </w:r>
      <w:r w:rsidR="005F7C68" w:rsidRPr="00405709">
        <w:rPr>
          <w:b/>
        </w:rPr>
        <w:t xml:space="preserve"> trades occup</w:t>
      </w:r>
      <w:r w:rsidR="005F7C68">
        <w:rPr>
          <w:b/>
        </w:rPr>
        <w:t xml:space="preserve">ations. </w:t>
      </w:r>
      <w:r w:rsidR="005F7C68">
        <w:t>M</w:t>
      </w:r>
      <w:r w:rsidR="005F7C68" w:rsidRPr="00A506CA">
        <w:t xml:space="preserve">ore women </w:t>
      </w:r>
      <w:r w:rsidR="005F7C68">
        <w:t>than men report</w:t>
      </w:r>
      <w:r w:rsidR="005F7C68" w:rsidRPr="00A506CA">
        <w:t xml:space="preserve"> employment in </w:t>
      </w:r>
      <w:r w:rsidR="005F7C68">
        <w:rPr>
          <w:b/>
        </w:rPr>
        <w:t xml:space="preserve">business and finances jobs </w:t>
      </w:r>
      <w:r w:rsidR="005F7C68" w:rsidRPr="006F241C">
        <w:t>and</w:t>
      </w:r>
      <w:r w:rsidR="005F7C68">
        <w:rPr>
          <w:b/>
          <w:i/>
        </w:rPr>
        <w:t xml:space="preserve"> </w:t>
      </w:r>
      <w:r w:rsidR="005F7C68" w:rsidRPr="00A506CA">
        <w:t>in</w:t>
      </w:r>
      <w:r w:rsidR="005F7C68">
        <w:rPr>
          <w:b/>
        </w:rPr>
        <w:t xml:space="preserve"> healthcare-related employment </w:t>
      </w:r>
      <w:r w:rsidR="005F7C68">
        <w:t xml:space="preserve">which is consistent with the field of study data presented in Figure 2. </w:t>
      </w:r>
    </w:p>
    <w:p w14:paraId="0E3F1118" w14:textId="77777777" w:rsidR="00497BB2" w:rsidRDefault="005E6152" w:rsidP="00773D0C">
      <w:pPr>
        <w:rPr>
          <w:rFonts w:cs="Calibri"/>
          <w:color w:val="000000"/>
          <w:sz w:val="16"/>
          <w:szCs w:val="16"/>
          <w:lang w:eastAsia="en-CA"/>
        </w:rPr>
      </w:pPr>
      <w:r w:rsidRPr="00EB3E68">
        <w:rPr>
          <w:color w:val="2E74B5" w:themeColor="accent1" w:themeShade="BF"/>
        </w:rPr>
        <w:t xml:space="preserve">Figure </w:t>
      </w:r>
      <w:r w:rsidR="00773D0C" w:rsidRPr="00EB3E68">
        <w:rPr>
          <w:color w:val="2E74B5" w:themeColor="accent1" w:themeShade="BF"/>
        </w:rPr>
        <w:t>3. Occupation Data</w:t>
      </w:r>
      <w:r w:rsidR="005F7C68" w:rsidRPr="00EB3E68">
        <w:rPr>
          <w:color w:val="2E74B5" w:themeColor="accent1" w:themeShade="BF"/>
        </w:rPr>
        <w:br/>
      </w:r>
      <w:r w:rsidR="00773D0C" w:rsidRPr="0081359B">
        <w:rPr>
          <w:color w:val="27348B"/>
        </w:rPr>
        <w:br/>
      </w:r>
      <w:r w:rsidR="00773D0C">
        <w:rPr>
          <w:noProof/>
          <w:lang w:val="en-US"/>
        </w:rPr>
        <w:drawing>
          <wp:inline distT="0" distB="0" distL="0" distR="0" wp14:anchorId="1549D6BA" wp14:editId="4CBF594A">
            <wp:extent cx="5943600" cy="23221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22195"/>
                    </a:xfrm>
                    <a:prstGeom prst="rect">
                      <a:avLst/>
                    </a:prstGeom>
                  </pic:spPr>
                </pic:pic>
              </a:graphicData>
            </a:graphic>
          </wp:inline>
        </w:drawing>
      </w:r>
      <w:r w:rsidR="00773D0C" w:rsidRPr="0081359B">
        <w:rPr>
          <w:sz w:val="16"/>
          <w:szCs w:val="16"/>
        </w:rPr>
        <w:t>Sources</w:t>
      </w:r>
      <w:r w:rsidR="00773D0C" w:rsidRPr="00311364">
        <w:rPr>
          <w:sz w:val="16"/>
          <w:szCs w:val="16"/>
        </w:rPr>
        <w:t xml:space="preserve">: </w:t>
      </w:r>
      <w:r w:rsidR="00773D0C" w:rsidRPr="00311364">
        <w:rPr>
          <w:rFonts w:cs="Arial"/>
          <w:sz w:val="16"/>
          <w:szCs w:val="16"/>
          <w:shd w:val="clear" w:color="auto" w:fill="FFFFFF"/>
        </w:rPr>
        <w:t xml:space="preserve">Statistics </w:t>
      </w:r>
      <w:r w:rsidR="00773D0C" w:rsidRPr="00880880">
        <w:rPr>
          <w:rFonts w:cs="Arial"/>
          <w:sz w:val="16"/>
          <w:szCs w:val="16"/>
          <w:shd w:val="clear" w:color="auto" w:fill="FFFFFF"/>
        </w:rPr>
        <w:t>Canada. </w:t>
      </w:r>
      <w:hyperlink r:id="rId12" w:history="1">
        <w:r w:rsidR="00773D0C" w:rsidRPr="00880880">
          <w:rPr>
            <w:rStyle w:val="Hyperlink"/>
            <w:rFonts w:cs="Arial"/>
            <w:color w:val="auto"/>
            <w:sz w:val="16"/>
            <w:szCs w:val="16"/>
            <w:u w:val="none"/>
            <w:shd w:val="clear" w:color="auto" w:fill="FFFFFF"/>
          </w:rPr>
          <w:t>Table 14-10-0314-01 Employment by census metropolitan areas and occupation, annual (x 1,000)</w:t>
        </w:r>
      </w:hyperlink>
      <w:r w:rsidR="00773D0C" w:rsidRPr="00880880">
        <w:rPr>
          <w:rFonts w:cs="Calibri"/>
          <w:sz w:val="16"/>
          <w:szCs w:val="16"/>
          <w:lang w:eastAsia="en-CA"/>
        </w:rPr>
        <w:t>). Statistics Canada. </w:t>
      </w:r>
      <w:r w:rsidR="00773D0C" w:rsidRPr="00311364">
        <w:rPr>
          <w:rFonts w:cs="Calibri"/>
          <w:sz w:val="16"/>
          <w:szCs w:val="16"/>
          <w:lang w:eastAsia="en-CA"/>
        </w:rPr>
        <w:t>Table 14-10</w:t>
      </w:r>
      <w:r w:rsidR="00773D0C" w:rsidRPr="0081359B">
        <w:rPr>
          <w:rFonts w:cs="Calibri"/>
          <w:color w:val="000000"/>
          <w:sz w:val="16"/>
          <w:szCs w:val="16"/>
          <w:lang w:eastAsia="en-CA"/>
        </w:rPr>
        <w:t>-0335-01 Labour force characteristics by occupation, annual</w:t>
      </w:r>
      <w:bookmarkStart w:id="2" w:name="_Toc56178044"/>
    </w:p>
    <w:p w14:paraId="247F7394" w14:textId="77777777" w:rsidR="00815D40" w:rsidRDefault="00815D40" w:rsidP="00773D0C">
      <w:pPr>
        <w:rPr>
          <w:rFonts w:cs="Calibri"/>
          <w:color w:val="000000"/>
          <w:sz w:val="16"/>
          <w:szCs w:val="16"/>
          <w:lang w:eastAsia="en-CA"/>
        </w:rPr>
      </w:pPr>
    </w:p>
    <w:p w14:paraId="4881AE89" w14:textId="1B53F3EF" w:rsidR="004062B9" w:rsidRDefault="004062B9">
      <w:r>
        <w:br w:type="page"/>
      </w:r>
    </w:p>
    <w:p w14:paraId="7EC1C90C" w14:textId="77777777" w:rsidR="00815D40" w:rsidRPr="003E1403" w:rsidRDefault="00815D40" w:rsidP="00773D0C"/>
    <w:p w14:paraId="32119955" w14:textId="77777777" w:rsidR="00773D0C" w:rsidRPr="009D1496" w:rsidRDefault="00773D0C" w:rsidP="00EB3E68">
      <w:pPr>
        <w:pStyle w:val="Heading1"/>
        <w:rPr>
          <w:rFonts w:ascii="Century Gothic" w:hAnsi="Century Gothic"/>
          <w:sz w:val="26"/>
          <w:szCs w:val="26"/>
          <w:lang w:eastAsia="en-CA"/>
        </w:rPr>
      </w:pPr>
      <w:r w:rsidRPr="009D1496">
        <w:rPr>
          <w:rFonts w:ascii="Century Gothic" w:hAnsi="Century Gothic"/>
          <w:sz w:val="26"/>
          <w:szCs w:val="26"/>
          <w:lang w:eastAsia="en-CA"/>
        </w:rPr>
        <w:t>Workforce Insights</w:t>
      </w:r>
      <w:bookmarkEnd w:id="2"/>
    </w:p>
    <w:p w14:paraId="68342A5E" w14:textId="77777777" w:rsidR="00631F34" w:rsidRPr="00631F34" w:rsidRDefault="00631F34" w:rsidP="00773D0C">
      <w:pPr>
        <w:rPr>
          <w:lang w:eastAsia="en-CA"/>
        </w:rPr>
      </w:pPr>
      <w:r w:rsidRPr="00631F34">
        <w:rPr>
          <w:lang w:eastAsia="en-CA"/>
        </w:rPr>
        <w:t xml:space="preserve">When we consider insights </w:t>
      </w:r>
      <w:r w:rsidR="00094562">
        <w:rPr>
          <w:lang w:eastAsia="en-CA"/>
        </w:rPr>
        <w:t xml:space="preserve">from the local labour force, </w:t>
      </w:r>
      <w:r w:rsidRPr="00631F34">
        <w:rPr>
          <w:lang w:eastAsia="en-CA"/>
        </w:rPr>
        <w:t xml:space="preserve">most respondents to our 2019 Labour Market Insights survey said that their job </w:t>
      </w:r>
      <w:r w:rsidRPr="00631F34">
        <w:rPr>
          <w:i/>
          <w:lang w:eastAsia="en-CA"/>
        </w:rPr>
        <w:t xml:space="preserve">always </w:t>
      </w:r>
      <w:r w:rsidRPr="00631F34">
        <w:rPr>
          <w:lang w:eastAsia="en-CA"/>
        </w:rPr>
        <w:t xml:space="preserve">or </w:t>
      </w:r>
      <w:r w:rsidRPr="00631F34">
        <w:rPr>
          <w:i/>
          <w:lang w:eastAsia="en-CA"/>
        </w:rPr>
        <w:t xml:space="preserve">almost always </w:t>
      </w:r>
      <w:r w:rsidRPr="00631F34">
        <w:rPr>
          <w:lang w:eastAsia="en-CA"/>
        </w:rPr>
        <w:t xml:space="preserve">aligned with their education/training/experience. </w:t>
      </w:r>
      <w:r w:rsidR="005A15E7">
        <w:rPr>
          <w:lang w:eastAsia="en-CA"/>
        </w:rPr>
        <w:t xml:space="preserve">Though not a representative sample of the local workforce, </w:t>
      </w:r>
      <w:r w:rsidR="001F04A6">
        <w:rPr>
          <w:lang w:eastAsia="en-CA"/>
        </w:rPr>
        <w:t xml:space="preserve">these data do </w:t>
      </w:r>
      <w:r w:rsidR="005A15E7">
        <w:rPr>
          <w:lang w:eastAsia="en-CA"/>
        </w:rPr>
        <w:t xml:space="preserve">indicate that some individuals feel that their experience and occupation align well. </w:t>
      </w:r>
    </w:p>
    <w:p w14:paraId="344A45D8" w14:textId="77777777" w:rsidR="003F37AE" w:rsidRDefault="00773D0C" w:rsidP="00773D0C">
      <w:pPr>
        <w:jc w:val="center"/>
        <w:rPr>
          <w:rFonts w:eastAsiaTheme="majorEastAsia" w:cstheme="majorBidi"/>
          <w:color w:val="27348B"/>
          <w:sz w:val="26"/>
          <w:szCs w:val="26"/>
        </w:rPr>
      </w:pPr>
      <w:r>
        <w:rPr>
          <w:noProof/>
          <w:lang w:val="en-US"/>
        </w:rPr>
        <w:drawing>
          <wp:inline distT="0" distB="0" distL="0" distR="0" wp14:anchorId="63D13CCE" wp14:editId="6D168B44">
            <wp:extent cx="6121941" cy="3780430"/>
            <wp:effectExtent l="19050" t="19050" r="12700" b="1079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860" cy="3821754"/>
                    </a:xfrm>
                    <a:prstGeom prst="rect">
                      <a:avLst/>
                    </a:prstGeom>
                    <a:ln>
                      <a:solidFill>
                        <a:schemeClr val="tx1"/>
                      </a:solidFill>
                      <a:prstDash val="sysDash"/>
                    </a:ln>
                  </pic:spPr>
                </pic:pic>
              </a:graphicData>
            </a:graphic>
          </wp:inline>
        </w:drawing>
      </w:r>
    </w:p>
    <w:p w14:paraId="4699B26F" w14:textId="77777777" w:rsidR="005E009B" w:rsidRDefault="00E4694F" w:rsidP="00525592">
      <w:pPr>
        <w:rPr>
          <w:rFonts w:eastAsiaTheme="majorEastAsia" w:cstheme="majorBidi"/>
          <w:szCs w:val="22"/>
        </w:rPr>
      </w:pPr>
      <w:r>
        <w:rPr>
          <w:rFonts w:eastAsiaTheme="majorEastAsia" w:cstheme="majorBidi"/>
          <w:szCs w:val="22"/>
        </w:rPr>
        <w:br/>
      </w:r>
      <w:r w:rsidR="00525592" w:rsidRPr="00525592">
        <w:rPr>
          <w:rFonts w:eastAsiaTheme="majorEastAsia" w:cstheme="majorBidi"/>
          <w:szCs w:val="22"/>
        </w:rPr>
        <w:t xml:space="preserve">Overall these data outline the educational background of men and women in Niagara’s labour force. Generally, these data indicate that the workforce is highly skilled and does have educational backgrounds in fields that are top areas of Niagara’s employment landscape. </w:t>
      </w:r>
    </w:p>
    <w:p w14:paraId="34C33FCB" w14:textId="5C2D0806" w:rsidR="00BB0D00" w:rsidRDefault="00434814" w:rsidP="00525592">
      <w:pPr>
        <w:rPr>
          <w:rFonts w:eastAsiaTheme="majorEastAsia" w:cstheme="majorBidi"/>
          <w:szCs w:val="22"/>
        </w:rPr>
      </w:pPr>
      <w:r>
        <w:rPr>
          <w:rFonts w:eastAsiaTheme="majorEastAsia" w:cstheme="majorBidi"/>
          <w:szCs w:val="22"/>
        </w:rPr>
        <w:t>These data also</w:t>
      </w:r>
      <w:r w:rsidR="00BB0D00">
        <w:rPr>
          <w:rFonts w:eastAsiaTheme="majorEastAsia" w:cstheme="majorBidi"/>
          <w:szCs w:val="22"/>
        </w:rPr>
        <w:t xml:space="preserve"> show fairly stark </w:t>
      </w:r>
      <w:r>
        <w:rPr>
          <w:rFonts w:eastAsiaTheme="majorEastAsia" w:cstheme="majorBidi"/>
          <w:szCs w:val="22"/>
        </w:rPr>
        <w:t xml:space="preserve">gender </w:t>
      </w:r>
      <w:r w:rsidR="00BB0D00">
        <w:rPr>
          <w:rFonts w:eastAsiaTheme="majorEastAsia" w:cstheme="majorBidi"/>
          <w:szCs w:val="22"/>
        </w:rPr>
        <w:t xml:space="preserve">differences in </w:t>
      </w:r>
      <w:r>
        <w:rPr>
          <w:rFonts w:eastAsiaTheme="majorEastAsia" w:cstheme="majorBidi"/>
          <w:szCs w:val="22"/>
        </w:rPr>
        <w:t>the number of individuals</w:t>
      </w:r>
      <w:r w:rsidR="00BB0D00">
        <w:rPr>
          <w:rFonts w:eastAsiaTheme="majorEastAsia" w:cstheme="majorBidi"/>
          <w:szCs w:val="22"/>
        </w:rPr>
        <w:t xml:space="preserve"> with a </w:t>
      </w:r>
      <w:r w:rsidR="00BB0D00">
        <w:rPr>
          <w:rFonts w:eastAsiaTheme="majorEastAsia" w:cstheme="majorBidi"/>
          <w:b/>
          <w:szCs w:val="22"/>
        </w:rPr>
        <w:t xml:space="preserve">trades or apprenticeship certificate </w:t>
      </w:r>
      <w:r w:rsidR="00BB0D00">
        <w:rPr>
          <w:rFonts w:eastAsiaTheme="majorEastAsia" w:cstheme="majorBidi"/>
          <w:szCs w:val="22"/>
        </w:rPr>
        <w:t xml:space="preserve">and in fields of study such as </w:t>
      </w:r>
      <w:r w:rsidR="00BB0D00" w:rsidRPr="00BB0D00">
        <w:rPr>
          <w:b/>
        </w:rPr>
        <w:t>architecture, engineering, and related technologies</w:t>
      </w:r>
      <w:r w:rsidR="00BB0D00">
        <w:rPr>
          <w:b/>
        </w:rPr>
        <w:t xml:space="preserve"> </w:t>
      </w:r>
      <w:r w:rsidR="00BB0D00">
        <w:t xml:space="preserve">and </w:t>
      </w:r>
      <w:r w:rsidR="00BB0D00">
        <w:rPr>
          <w:b/>
        </w:rPr>
        <w:t xml:space="preserve">health related fields. </w:t>
      </w:r>
      <w:r w:rsidR="008B1918">
        <w:t>These trends tend to be reflected in occupation of employmen</w:t>
      </w:r>
      <w:r w:rsidR="0096267B">
        <w:t>t.</w:t>
      </w:r>
    </w:p>
    <w:p w14:paraId="4C33E346" w14:textId="77777777" w:rsidR="003E1403" w:rsidRPr="00525592" w:rsidRDefault="003E1403" w:rsidP="00525592">
      <w:pPr>
        <w:rPr>
          <w:rFonts w:eastAsiaTheme="majorEastAsia" w:cstheme="majorBidi"/>
          <w:szCs w:val="22"/>
        </w:rPr>
      </w:pPr>
      <w:r>
        <w:rPr>
          <w:rFonts w:eastAsiaTheme="majorEastAsia" w:cstheme="majorBidi"/>
          <w:szCs w:val="22"/>
        </w:rPr>
        <w:t xml:space="preserve">Would you like to know more? NWPB is ready for your questions. Please reach out to NWPB’s CEO, Vivian Kinnaird at </w:t>
      </w:r>
      <w:hyperlink r:id="rId14" w:history="1">
        <w:r w:rsidRPr="00D257DF">
          <w:rPr>
            <w:rStyle w:val="Hyperlink"/>
            <w:rFonts w:eastAsiaTheme="majorEastAsia" w:cstheme="majorBidi"/>
            <w:szCs w:val="22"/>
          </w:rPr>
          <w:t>vivian@nwpb.ca</w:t>
        </w:r>
      </w:hyperlink>
      <w:r>
        <w:rPr>
          <w:rFonts w:eastAsiaTheme="majorEastAsia" w:cstheme="majorBidi"/>
          <w:szCs w:val="22"/>
        </w:rPr>
        <w:t xml:space="preserve"> </w:t>
      </w:r>
    </w:p>
    <w:sectPr w:rsidR="003E1403" w:rsidRPr="005255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49CF6" w14:textId="77777777" w:rsidR="00A12D26" w:rsidRDefault="00A12D26" w:rsidP="00773D0C">
      <w:pPr>
        <w:spacing w:after="0" w:line="240" w:lineRule="auto"/>
      </w:pPr>
      <w:r>
        <w:separator/>
      </w:r>
    </w:p>
  </w:endnote>
  <w:endnote w:type="continuationSeparator" w:id="0">
    <w:p w14:paraId="48DF6806" w14:textId="77777777" w:rsidR="00A12D26" w:rsidRDefault="00A12D26" w:rsidP="0077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38AFE" w14:textId="77777777" w:rsidR="00A12D26" w:rsidRDefault="00A12D26" w:rsidP="00773D0C">
      <w:pPr>
        <w:spacing w:after="0" w:line="240" w:lineRule="auto"/>
      </w:pPr>
      <w:r>
        <w:separator/>
      </w:r>
    </w:p>
  </w:footnote>
  <w:footnote w:type="continuationSeparator" w:id="0">
    <w:p w14:paraId="78815CB5" w14:textId="77777777" w:rsidR="00A12D26" w:rsidRDefault="00A12D26" w:rsidP="00773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E719F"/>
    <w:multiLevelType w:val="hybridMultilevel"/>
    <w:tmpl w:val="5F023FAE"/>
    <w:lvl w:ilvl="0" w:tplc="608E910E">
      <w:start w:val="1"/>
      <w:numFmt w:val="bullet"/>
      <w:lvlText w:val=""/>
      <w:lvlJc w:val="left"/>
      <w:pPr>
        <w:ind w:left="720" w:hanging="360"/>
      </w:pPr>
      <w:rPr>
        <w:rFonts w:ascii="Wingdings" w:hAnsi="Wingdings" w:hint="default"/>
        <w:color w:val="1F4E79" w:themeColor="accent1"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EE4152"/>
    <w:multiLevelType w:val="hybridMultilevel"/>
    <w:tmpl w:val="68B2D848"/>
    <w:lvl w:ilvl="0" w:tplc="608E910E">
      <w:start w:val="1"/>
      <w:numFmt w:val="bullet"/>
      <w:lvlText w:val=""/>
      <w:lvlJc w:val="left"/>
      <w:pPr>
        <w:ind w:left="1451" w:hanging="360"/>
      </w:pPr>
      <w:rPr>
        <w:rFonts w:ascii="Wingdings" w:hAnsi="Wingdings" w:hint="default"/>
        <w:color w:val="1F4E79" w:themeColor="accent1" w:themeShade="80"/>
      </w:rPr>
    </w:lvl>
    <w:lvl w:ilvl="1" w:tplc="10090003" w:tentative="1">
      <w:start w:val="1"/>
      <w:numFmt w:val="bullet"/>
      <w:lvlText w:val="o"/>
      <w:lvlJc w:val="left"/>
      <w:pPr>
        <w:ind w:left="2171" w:hanging="360"/>
      </w:pPr>
      <w:rPr>
        <w:rFonts w:ascii="Courier New" w:hAnsi="Courier New" w:cs="Courier New" w:hint="default"/>
      </w:rPr>
    </w:lvl>
    <w:lvl w:ilvl="2" w:tplc="10090005" w:tentative="1">
      <w:start w:val="1"/>
      <w:numFmt w:val="bullet"/>
      <w:lvlText w:val=""/>
      <w:lvlJc w:val="left"/>
      <w:pPr>
        <w:ind w:left="2891" w:hanging="360"/>
      </w:pPr>
      <w:rPr>
        <w:rFonts w:ascii="Wingdings" w:hAnsi="Wingdings" w:hint="default"/>
      </w:rPr>
    </w:lvl>
    <w:lvl w:ilvl="3" w:tplc="10090001" w:tentative="1">
      <w:start w:val="1"/>
      <w:numFmt w:val="bullet"/>
      <w:lvlText w:val=""/>
      <w:lvlJc w:val="left"/>
      <w:pPr>
        <w:ind w:left="3611" w:hanging="360"/>
      </w:pPr>
      <w:rPr>
        <w:rFonts w:ascii="Symbol" w:hAnsi="Symbol" w:hint="default"/>
      </w:rPr>
    </w:lvl>
    <w:lvl w:ilvl="4" w:tplc="10090003" w:tentative="1">
      <w:start w:val="1"/>
      <w:numFmt w:val="bullet"/>
      <w:lvlText w:val="o"/>
      <w:lvlJc w:val="left"/>
      <w:pPr>
        <w:ind w:left="4331" w:hanging="360"/>
      </w:pPr>
      <w:rPr>
        <w:rFonts w:ascii="Courier New" w:hAnsi="Courier New" w:cs="Courier New" w:hint="default"/>
      </w:rPr>
    </w:lvl>
    <w:lvl w:ilvl="5" w:tplc="10090005" w:tentative="1">
      <w:start w:val="1"/>
      <w:numFmt w:val="bullet"/>
      <w:lvlText w:val=""/>
      <w:lvlJc w:val="left"/>
      <w:pPr>
        <w:ind w:left="5051" w:hanging="360"/>
      </w:pPr>
      <w:rPr>
        <w:rFonts w:ascii="Wingdings" w:hAnsi="Wingdings" w:hint="default"/>
      </w:rPr>
    </w:lvl>
    <w:lvl w:ilvl="6" w:tplc="10090001" w:tentative="1">
      <w:start w:val="1"/>
      <w:numFmt w:val="bullet"/>
      <w:lvlText w:val=""/>
      <w:lvlJc w:val="left"/>
      <w:pPr>
        <w:ind w:left="5771" w:hanging="360"/>
      </w:pPr>
      <w:rPr>
        <w:rFonts w:ascii="Symbol" w:hAnsi="Symbol" w:hint="default"/>
      </w:rPr>
    </w:lvl>
    <w:lvl w:ilvl="7" w:tplc="10090003" w:tentative="1">
      <w:start w:val="1"/>
      <w:numFmt w:val="bullet"/>
      <w:lvlText w:val="o"/>
      <w:lvlJc w:val="left"/>
      <w:pPr>
        <w:ind w:left="6491" w:hanging="360"/>
      </w:pPr>
      <w:rPr>
        <w:rFonts w:ascii="Courier New" w:hAnsi="Courier New" w:cs="Courier New" w:hint="default"/>
      </w:rPr>
    </w:lvl>
    <w:lvl w:ilvl="8" w:tplc="10090005" w:tentative="1">
      <w:start w:val="1"/>
      <w:numFmt w:val="bullet"/>
      <w:lvlText w:val=""/>
      <w:lvlJc w:val="left"/>
      <w:pPr>
        <w:ind w:left="7211" w:hanging="360"/>
      </w:pPr>
      <w:rPr>
        <w:rFonts w:ascii="Wingdings" w:hAnsi="Wingdings" w:hint="default"/>
      </w:rPr>
    </w:lvl>
  </w:abstractNum>
  <w:abstractNum w:abstractNumId="2" w15:restartNumberingAfterBreak="0">
    <w:nsid w:val="7ADA5A53"/>
    <w:multiLevelType w:val="hybridMultilevel"/>
    <w:tmpl w:val="CFC2EF20"/>
    <w:lvl w:ilvl="0" w:tplc="608E910E">
      <w:start w:val="1"/>
      <w:numFmt w:val="bullet"/>
      <w:lvlText w:val=""/>
      <w:lvlJc w:val="left"/>
      <w:pPr>
        <w:ind w:left="720" w:hanging="360"/>
      </w:pPr>
      <w:rPr>
        <w:rFonts w:ascii="Wingdings" w:hAnsi="Wingdings" w:hint="default"/>
        <w:color w:val="1F4E79" w:themeColor="accent1"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E3"/>
    <w:rsid w:val="0000008A"/>
    <w:rsid w:val="00023F4F"/>
    <w:rsid w:val="00033A34"/>
    <w:rsid w:val="0003533D"/>
    <w:rsid w:val="00040CE3"/>
    <w:rsid w:val="00046676"/>
    <w:rsid w:val="000549A3"/>
    <w:rsid w:val="0009268F"/>
    <w:rsid w:val="00094562"/>
    <w:rsid w:val="000A71D0"/>
    <w:rsid w:val="000C71C9"/>
    <w:rsid w:val="000F438B"/>
    <w:rsid w:val="000F4DF1"/>
    <w:rsid w:val="00100A85"/>
    <w:rsid w:val="001027B3"/>
    <w:rsid w:val="00125974"/>
    <w:rsid w:val="00130D98"/>
    <w:rsid w:val="00142371"/>
    <w:rsid w:val="00180A7E"/>
    <w:rsid w:val="001E7B55"/>
    <w:rsid w:val="001F04A6"/>
    <w:rsid w:val="00205971"/>
    <w:rsid w:val="00220209"/>
    <w:rsid w:val="00284573"/>
    <w:rsid w:val="002863B4"/>
    <w:rsid w:val="002A22EB"/>
    <w:rsid w:val="002A32DA"/>
    <w:rsid w:val="002A7539"/>
    <w:rsid w:val="002C525C"/>
    <w:rsid w:val="00326378"/>
    <w:rsid w:val="00367723"/>
    <w:rsid w:val="003733C0"/>
    <w:rsid w:val="003A55D4"/>
    <w:rsid w:val="003C47F3"/>
    <w:rsid w:val="003E1403"/>
    <w:rsid w:val="003F37AE"/>
    <w:rsid w:val="004062B9"/>
    <w:rsid w:val="00434814"/>
    <w:rsid w:val="00497BB2"/>
    <w:rsid w:val="004A60D6"/>
    <w:rsid w:val="00525592"/>
    <w:rsid w:val="005842F6"/>
    <w:rsid w:val="00585417"/>
    <w:rsid w:val="00592DC4"/>
    <w:rsid w:val="005A15E7"/>
    <w:rsid w:val="005A63AF"/>
    <w:rsid w:val="005E009B"/>
    <w:rsid w:val="005E6152"/>
    <w:rsid w:val="005F7C68"/>
    <w:rsid w:val="00603A0D"/>
    <w:rsid w:val="00606800"/>
    <w:rsid w:val="00615FEA"/>
    <w:rsid w:val="00631F34"/>
    <w:rsid w:val="00640DB1"/>
    <w:rsid w:val="006644D6"/>
    <w:rsid w:val="00667553"/>
    <w:rsid w:val="006C68C3"/>
    <w:rsid w:val="006E3F88"/>
    <w:rsid w:val="006E5E49"/>
    <w:rsid w:val="006F1BD6"/>
    <w:rsid w:val="006F241C"/>
    <w:rsid w:val="007133A9"/>
    <w:rsid w:val="00755343"/>
    <w:rsid w:val="00773D0C"/>
    <w:rsid w:val="00786D60"/>
    <w:rsid w:val="007B19FE"/>
    <w:rsid w:val="007D5861"/>
    <w:rsid w:val="00801417"/>
    <w:rsid w:val="00815D40"/>
    <w:rsid w:val="00826827"/>
    <w:rsid w:val="0082688C"/>
    <w:rsid w:val="00880880"/>
    <w:rsid w:val="00891079"/>
    <w:rsid w:val="008A35A4"/>
    <w:rsid w:val="008B1918"/>
    <w:rsid w:val="008D4023"/>
    <w:rsid w:val="008D60F5"/>
    <w:rsid w:val="00951102"/>
    <w:rsid w:val="0096267B"/>
    <w:rsid w:val="009D1496"/>
    <w:rsid w:val="009E1BC9"/>
    <w:rsid w:val="00A12D26"/>
    <w:rsid w:val="00A32D07"/>
    <w:rsid w:val="00AC0801"/>
    <w:rsid w:val="00AC1DFB"/>
    <w:rsid w:val="00B00ABE"/>
    <w:rsid w:val="00B37CB1"/>
    <w:rsid w:val="00B73753"/>
    <w:rsid w:val="00B8418E"/>
    <w:rsid w:val="00BA0053"/>
    <w:rsid w:val="00BB0D00"/>
    <w:rsid w:val="00BB52E3"/>
    <w:rsid w:val="00C557D4"/>
    <w:rsid w:val="00C56A94"/>
    <w:rsid w:val="00C576AC"/>
    <w:rsid w:val="00C66E86"/>
    <w:rsid w:val="00CC208D"/>
    <w:rsid w:val="00CE5BBC"/>
    <w:rsid w:val="00CF3E1C"/>
    <w:rsid w:val="00DB7EE1"/>
    <w:rsid w:val="00DC0173"/>
    <w:rsid w:val="00DC6D00"/>
    <w:rsid w:val="00DE0174"/>
    <w:rsid w:val="00DE7A38"/>
    <w:rsid w:val="00E4694F"/>
    <w:rsid w:val="00E5348F"/>
    <w:rsid w:val="00E6657A"/>
    <w:rsid w:val="00EA7CEB"/>
    <w:rsid w:val="00EB3E68"/>
    <w:rsid w:val="00EE23CE"/>
    <w:rsid w:val="00F02A3B"/>
    <w:rsid w:val="00F358FC"/>
    <w:rsid w:val="00F7158A"/>
    <w:rsid w:val="00FB41B0"/>
    <w:rsid w:val="00FD41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A525"/>
  <w15:chartTrackingRefBased/>
  <w15:docId w15:val="{94FBD6A3-606E-4B87-ADEB-74D73500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3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2E3"/>
    <w:pPr>
      <w:spacing w:before="100" w:beforeAutospacing="1" w:after="100" w:afterAutospacing="1" w:line="240" w:lineRule="auto"/>
    </w:pPr>
    <w:rPr>
      <w:rFonts w:ascii="Times New Roman" w:eastAsia="Times New Roman" w:hAnsi="Times New Roman" w:cs="Times New Roman"/>
      <w:sz w:val="24"/>
      <w:lang w:eastAsia="en-CA"/>
    </w:rPr>
  </w:style>
  <w:style w:type="character" w:customStyle="1" w:styleId="Heading1Char">
    <w:name w:val="Heading 1 Char"/>
    <w:basedOn w:val="DefaultParagraphFont"/>
    <w:link w:val="Heading1"/>
    <w:uiPriority w:val="9"/>
    <w:rsid w:val="00603A0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00A85"/>
    <w:rPr>
      <w:color w:val="0563C1" w:themeColor="hyperlink"/>
      <w:u w:val="single"/>
    </w:rPr>
  </w:style>
  <w:style w:type="paragraph" w:styleId="ListParagraph">
    <w:name w:val="List Paragraph"/>
    <w:basedOn w:val="Normal"/>
    <w:uiPriority w:val="34"/>
    <w:qFormat/>
    <w:rsid w:val="006F1BD6"/>
    <w:pPr>
      <w:ind w:left="720"/>
      <w:contextualSpacing/>
    </w:pPr>
    <w:rPr>
      <w:szCs w:val="22"/>
    </w:rPr>
  </w:style>
  <w:style w:type="paragraph" w:styleId="FootnoteText">
    <w:name w:val="footnote text"/>
    <w:basedOn w:val="Normal"/>
    <w:link w:val="FootnoteTextChar"/>
    <w:uiPriority w:val="99"/>
    <w:unhideWhenUsed/>
    <w:rsid w:val="00773D0C"/>
    <w:pPr>
      <w:spacing w:after="0" w:line="240" w:lineRule="auto"/>
    </w:pPr>
    <w:rPr>
      <w:sz w:val="20"/>
      <w:szCs w:val="20"/>
    </w:rPr>
  </w:style>
  <w:style w:type="character" w:customStyle="1" w:styleId="FootnoteTextChar">
    <w:name w:val="Footnote Text Char"/>
    <w:basedOn w:val="DefaultParagraphFont"/>
    <w:link w:val="FootnoteText"/>
    <w:uiPriority w:val="99"/>
    <w:rsid w:val="00773D0C"/>
    <w:rPr>
      <w:sz w:val="20"/>
      <w:szCs w:val="20"/>
    </w:rPr>
  </w:style>
  <w:style w:type="character" w:styleId="FootnoteReference">
    <w:name w:val="footnote reference"/>
    <w:basedOn w:val="DefaultParagraphFont"/>
    <w:uiPriority w:val="99"/>
    <w:semiHidden/>
    <w:unhideWhenUsed/>
    <w:rsid w:val="00773D0C"/>
    <w:rPr>
      <w:vertAlign w:val="superscript"/>
    </w:rPr>
  </w:style>
  <w:style w:type="character" w:styleId="FollowedHyperlink">
    <w:name w:val="FollowedHyperlink"/>
    <w:basedOn w:val="DefaultParagraphFont"/>
    <w:uiPriority w:val="99"/>
    <w:semiHidden/>
    <w:unhideWhenUsed/>
    <w:rsid w:val="00DC6D00"/>
    <w:rPr>
      <w:color w:val="954F72" w:themeColor="followedHyperlink"/>
      <w:u w:val="single"/>
    </w:rPr>
  </w:style>
  <w:style w:type="character" w:styleId="CommentReference">
    <w:name w:val="annotation reference"/>
    <w:basedOn w:val="DefaultParagraphFont"/>
    <w:uiPriority w:val="99"/>
    <w:semiHidden/>
    <w:unhideWhenUsed/>
    <w:rsid w:val="004A60D6"/>
    <w:rPr>
      <w:sz w:val="16"/>
      <w:szCs w:val="16"/>
    </w:rPr>
  </w:style>
  <w:style w:type="paragraph" w:styleId="CommentText">
    <w:name w:val="annotation text"/>
    <w:basedOn w:val="Normal"/>
    <w:link w:val="CommentTextChar"/>
    <w:uiPriority w:val="99"/>
    <w:semiHidden/>
    <w:unhideWhenUsed/>
    <w:rsid w:val="004A60D6"/>
    <w:pPr>
      <w:spacing w:line="240" w:lineRule="auto"/>
    </w:pPr>
    <w:rPr>
      <w:sz w:val="20"/>
      <w:szCs w:val="20"/>
    </w:rPr>
  </w:style>
  <w:style w:type="character" w:customStyle="1" w:styleId="CommentTextChar">
    <w:name w:val="Comment Text Char"/>
    <w:basedOn w:val="DefaultParagraphFont"/>
    <w:link w:val="CommentText"/>
    <w:uiPriority w:val="99"/>
    <w:semiHidden/>
    <w:rsid w:val="004A60D6"/>
    <w:rPr>
      <w:sz w:val="20"/>
      <w:szCs w:val="20"/>
    </w:rPr>
  </w:style>
  <w:style w:type="paragraph" w:styleId="CommentSubject">
    <w:name w:val="annotation subject"/>
    <w:basedOn w:val="CommentText"/>
    <w:next w:val="CommentText"/>
    <w:link w:val="CommentSubjectChar"/>
    <w:uiPriority w:val="99"/>
    <w:semiHidden/>
    <w:unhideWhenUsed/>
    <w:rsid w:val="004A60D6"/>
    <w:rPr>
      <w:b/>
      <w:bCs/>
    </w:rPr>
  </w:style>
  <w:style w:type="character" w:customStyle="1" w:styleId="CommentSubjectChar">
    <w:name w:val="Comment Subject Char"/>
    <w:basedOn w:val="CommentTextChar"/>
    <w:link w:val="CommentSubject"/>
    <w:uiPriority w:val="99"/>
    <w:semiHidden/>
    <w:rsid w:val="004A60D6"/>
    <w:rPr>
      <w:b/>
      <w:bCs/>
      <w:sz w:val="20"/>
      <w:szCs w:val="20"/>
    </w:rPr>
  </w:style>
  <w:style w:type="paragraph" w:styleId="BalloonText">
    <w:name w:val="Balloon Text"/>
    <w:basedOn w:val="Normal"/>
    <w:link w:val="BalloonTextChar"/>
    <w:uiPriority w:val="99"/>
    <w:semiHidden/>
    <w:unhideWhenUsed/>
    <w:rsid w:val="004A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pb.ca/gender-equity-labour-force-series-niagaras-workforce-and-areas-of-employmen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50.statcan.gc.ca/t1/tbl1/en/tv.action?pid=14100314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vivian@nwpb.ca"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education!$B$2</c:f>
              <c:strCache>
                <c:ptCount val="1"/>
                <c:pt idx="0">
                  <c:v>Men</c:v>
                </c:pt>
              </c:strCache>
            </c:strRef>
          </c:tx>
          <c:spPr>
            <a:solidFill>
              <a:srgbClr val="F4974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education!$A$3:$A$7</c:f>
              <c:strCache>
                <c:ptCount val="5"/>
                <c:pt idx="0">
                  <c:v>No certificate, diploma or degree </c:v>
                </c:pt>
                <c:pt idx="1">
                  <c:v>High School diploma </c:v>
                </c:pt>
                <c:pt idx="2">
                  <c:v>Trades Certificate </c:v>
                </c:pt>
                <c:pt idx="3">
                  <c:v>College Diploma </c:v>
                </c:pt>
                <c:pt idx="4">
                  <c:v>University Degree </c:v>
                </c:pt>
              </c:strCache>
            </c:strRef>
          </c:cat>
          <c:val>
            <c:numRef>
              <c:f>education!$B$3:$B$7</c:f>
              <c:numCache>
                <c:formatCode>#,##0</c:formatCode>
                <c:ptCount val="5"/>
                <c:pt idx="0">
                  <c:v>11650</c:v>
                </c:pt>
                <c:pt idx="1">
                  <c:v>34590</c:v>
                </c:pt>
                <c:pt idx="2">
                  <c:v>12155</c:v>
                </c:pt>
                <c:pt idx="3">
                  <c:v>26895</c:v>
                </c:pt>
                <c:pt idx="4">
                  <c:v>21410</c:v>
                </c:pt>
              </c:numCache>
            </c:numRef>
          </c:val>
          <c:extLst xmlns:c16r2="http://schemas.microsoft.com/office/drawing/2015/06/chart">
            <c:ext xmlns:c16="http://schemas.microsoft.com/office/drawing/2014/chart" uri="{C3380CC4-5D6E-409C-BE32-E72D297353CC}">
              <c16:uniqueId val="{00000000-3B21-4444-B3B4-62281CD54612}"/>
            </c:ext>
          </c:extLst>
        </c:ser>
        <c:ser>
          <c:idx val="1"/>
          <c:order val="1"/>
          <c:tx>
            <c:strRef>
              <c:f>education!$C$2</c:f>
              <c:strCache>
                <c:ptCount val="1"/>
                <c:pt idx="0">
                  <c:v>Women </c:v>
                </c:pt>
              </c:strCache>
            </c:strRef>
          </c:tx>
          <c:spPr>
            <a:solidFill>
              <a:srgbClr val="2690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education!$A$3:$A$7</c:f>
              <c:strCache>
                <c:ptCount val="5"/>
                <c:pt idx="0">
                  <c:v>No certificate, diploma or degree </c:v>
                </c:pt>
                <c:pt idx="1">
                  <c:v>High School diploma </c:v>
                </c:pt>
                <c:pt idx="2">
                  <c:v>Trades Certificate </c:v>
                </c:pt>
                <c:pt idx="3">
                  <c:v>College Diploma </c:v>
                </c:pt>
                <c:pt idx="4">
                  <c:v>University Degree </c:v>
                </c:pt>
              </c:strCache>
            </c:strRef>
          </c:cat>
          <c:val>
            <c:numRef>
              <c:f>education!$C$3:$C$7</c:f>
              <c:numCache>
                <c:formatCode>#,##0</c:formatCode>
                <c:ptCount val="5"/>
                <c:pt idx="0">
                  <c:v>8570</c:v>
                </c:pt>
                <c:pt idx="1">
                  <c:v>30200</c:v>
                </c:pt>
                <c:pt idx="2">
                  <c:v>4540</c:v>
                </c:pt>
                <c:pt idx="3">
                  <c:v>33290</c:v>
                </c:pt>
                <c:pt idx="4">
                  <c:v>26580</c:v>
                </c:pt>
              </c:numCache>
            </c:numRef>
          </c:val>
          <c:extLst xmlns:c16r2="http://schemas.microsoft.com/office/drawing/2015/06/chart">
            <c:ext xmlns:c16="http://schemas.microsoft.com/office/drawing/2014/chart" uri="{C3380CC4-5D6E-409C-BE32-E72D297353CC}">
              <c16:uniqueId val="{00000001-3B21-4444-B3B4-62281CD54612}"/>
            </c:ext>
          </c:extLst>
        </c:ser>
        <c:dLbls>
          <c:dLblPos val="outEnd"/>
          <c:showLegendKey val="0"/>
          <c:showVal val="1"/>
          <c:showCatName val="0"/>
          <c:showSerName val="0"/>
          <c:showPercent val="0"/>
          <c:showBubbleSize val="0"/>
        </c:dLbls>
        <c:gapWidth val="219"/>
        <c:overlap val="-27"/>
        <c:axId val="531586512"/>
        <c:axId val="531585728"/>
      </c:barChart>
      <c:catAx>
        <c:axId val="531586512"/>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crossAx val="531585728"/>
        <c:crosses val="autoZero"/>
        <c:auto val="1"/>
        <c:lblAlgn val="ctr"/>
        <c:lblOffset val="100"/>
        <c:noMultiLvlLbl val="0"/>
      </c:catAx>
      <c:valAx>
        <c:axId val="531585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crossAx val="531586512"/>
        <c:crosses val="autoZero"/>
        <c:crossBetween val="between"/>
      </c:valAx>
      <c:spPr>
        <a:solidFill>
          <a:sysClr val="window" lastClr="FFFFFF">
            <a:lumMod val="95000"/>
          </a:sys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Century Gothic" panose="020B0502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Sheet2!$I$5</c:f>
              <c:strCache>
                <c:ptCount val="1"/>
                <c:pt idx="0">
                  <c:v>men</c:v>
                </c:pt>
              </c:strCache>
            </c:strRef>
          </c:tx>
          <c:spPr>
            <a:solidFill>
              <a:srgbClr val="F4974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Sheet2!$H$14:$H$16</c:f>
              <c:strCache>
                <c:ptCount val="3"/>
                <c:pt idx="0">
                  <c:v>  Health and related fields</c:v>
                </c:pt>
                <c:pt idx="1">
                  <c:v>  Business; management and public administration</c:v>
                </c:pt>
                <c:pt idx="2">
                  <c:v>  Architecture; engineering; and related technologies</c:v>
                </c:pt>
              </c:strCache>
            </c:strRef>
          </c:cat>
          <c:val>
            <c:numRef>
              <c:f>Sheet2!$I$14:$I$16</c:f>
              <c:numCache>
                <c:formatCode>0.0%</c:formatCode>
                <c:ptCount val="3"/>
                <c:pt idx="0">
                  <c:v>0.18843548132976209</c:v>
                </c:pt>
                <c:pt idx="1">
                  <c:v>0.37361858883536414</c:v>
                </c:pt>
                <c:pt idx="2">
                  <c:v>0.94016454749439038</c:v>
                </c:pt>
              </c:numCache>
            </c:numRef>
          </c:val>
          <c:extLst xmlns:c16r2="http://schemas.microsoft.com/office/drawing/2015/06/chart">
            <c:ext xmlns:c16="http://schemas.microsoft.com/office/drawing/2014/chart" uri="{C3380CC4-5D6E-409C-BE32-E72D297353CC}">
              <c16:uniqueId val="{00000000-3A17-40E6-A4D6-AEAE2352127E}"/>
            </c:ext>
          </c:extLst>
        </c:ser>
        <c:ser>
          <c:idx val="1"/>
          <c:order val="1"/>
          <c:tx>
            <c:strRef>
              <c:f>Sheet2!$J$5</c:f>
              <c:strCache>
                <c:ptCount val="1"/>
                <c:pt idx="0">
                  <c:v>women</c:v>
                </c:pt>
              </c:strCache>
            </c:strRef>
          </c:tx>
          <c:spPr>
            <a:solidFill>
              <a:srgbClr val="2690C8"/>
            </a:solidFill>
            <a:ln>
              <a:noFill/>
            </a:ln>
            <a:effectLst/>
          </c:spPr>
          <c:invertIfNegative val="0"/>
          <c:dLbls>
            <c:dLbl>
              <c:idx val="2"/>
              <c:layout>
                <c:manualLayout>
                  <c:x val="3.5320088300220751E-2"/>
                  <c:y val="-7.1098471382865271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A17-40E6-A4D6-AEAE2352127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Sheet2!$H$14:$H$16</c:f>
              <c:strCache>
                <c:ptCount val="3"/>
                <c:pt idx="0">
                  <c:v>  Health and related fields</c:v>
                </c:pt>
                <c:pt idx="1">
                  <c:v>  Business; management and public administration</c:v>
                </c:pt>
                <c:pt idx="2">
                  <c:v>  Architecture; engineering; and related technologies</c:v>
                </c:pt>
              </c:strCache>
            </c:strRef>
          </c:cat>
          <c:val>
            <c:numRef>
              <c:f>Sheet2!$J$14:$J$16</c:f>
              <c:numCache>
                <c:formatCode>0.0%</c:formatCode>
                <c:ptCount val="3"/>
                <c:pt idx="0">
                  <c:v>0.81156451867023793</c:v>
                </c:pt>
                <c:pt idx="1">
                  <c:v>0.62638141116463586</c:v>
                </c:pt>
                <c:pt idx="2">
                  <c:v>5.9710795312889552E-2</c:v>
                </c:pt>
              </c:numCache>
            </c:numRef>
          </c:val>
          <c:extLst xmlns:c16r2="http://schemas.microsoft.com/office/drawing/2015/06/chart">
            <c:ext xmlns:c16="http://schemas.microsoft.com/office/drawing/2014/chart" uri="{C3380CC4-5D6E-409C-BE32-E72D297353CC}">
              <c16:uniqueId val="{00000001-3A17-40E6-A4D6-AEAE2352127E}"/>
            </c:ext>
          </c:extLst>
        </c:ser>
        <c:dLbls>
          <c:dLblPos val="ctr"/>
          <c:showLegendKey val="0"/>
          <c:showVal val="1"/>
          <c:showCatName val="0"/>
          <c:showSerName val="0"/>
          <c:showPercent val="0"/>
          <c:showBubbleSize val="0"/>
        </c:dLbls>
        <c:gapWidth val="50"/>
        <c:overlap val="100"/>
        <c:axId val="531588080"/>
        <c:axId val="531588472"/>
      </c:barChart>
      <c:catAx>
        <c:axId val="531588080"/>
        <c:scaling>
          <c:orientation val="minMax"/>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crossAx val="531588472"/>
        <c:crosses val="autoZero"/>
        <c:auto val="1"/>
        <c:lblAlgn val="ctr"/>
        <c:lblOffset val="100"/>
        <c:noMultiLvlLbl val="0"/>
      </c:catAx>
      <c:valAx>
        <c:axId val="5315884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crossAx val="531588080"/>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Century Gothic" panose="020B0502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6021-2D2C-4450-B2DF-3BA0C3C6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Semplonius</dc:creator>
  <cp:keywords/>
  <dc:description/>
  <cp:lastModifiedBy>Nikki Prudden</cp:lastModifiedBy>
  <cp:revision>23</cp:revision>
  <dcterms:created xsi:type="dcterms:W3CDTF">2020-11-17T21:05:00Z</dcterms:created>
  <dcterms:modified xsi:type="dcterms:W3CDTF">2020-11-19T20:38:00Z</dcterms:modified>
</cp:coreProperties>
</file>